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0F51B" w14:textId="046C64C9" w:rsidR="001A3DBA" w:rsidRPr="00EC6638" w:rsidRDefault="001A3DBA" w:rsidP="00672EE7">
      <w:pPr>
        <w:pStyle w:val="BodyStyle"/>
        <w:tabs>
          <w:tab w:val="clear" w:pos="720"/>
          <w:tab w:val="clear" w:pos="1440"/>
          <w:tab w:val="left" w:pos="1260"/>
        </w:tabs>
        <w:spacing w:after="120"/>
        <w:rPr>
          <w:rFonts w:asciiTheme="minorHAnsi" w:hAnsiTheme="minorHAnsi"/>
          <w:b/>
          <w:sz w:val="22"/>
          <w:szCs w:val="22"/>
        </w:rPr>
      </w:pPr>
      <w:r w:rsidRPr="00EC6638">
        <w:rPr>
          <w:rFonts w:asciiTheme="minorHAnsi" w:hAnsiTheme="minorHAnsi"/>
          <w:b/>
          <w:sz w:val="22"/>
          <w:szCs w:val="22"/>
        </w:rPr>
        <w:t>TO:</w:t>
      </w:r>
      <w:r w:rsidRPr="00EC6638">
        <w:rPr>
          <w:rFonts w:asciiTheme="minorHAnsi" w:hAnsiTheme="minorHAnsi"/>
          <w:b/>
          <w:sz w:val="22"/>
          <w:szCs w:val="22"/>
        </w:rPr>
        <w:tab/>
      </w:r>
      <w:r w:rsidR="00E26BFA">
        <w:rPr>
          <w:rFonts w:asciiTheme="minorHAnsi" w:hAnsiTheme="minorHAnsi"/>
          <w:b/>
          <w:sz w:val="22"/>
          <w:szCs w:val="22"/>
        </w:rPr>
        <w:t>American Lobster Management Board</w:t>
      </w:r>
    </w:p>
    <w:p w14:paraId="29B2F677" w14:textId="5AB59D9D" w:rsidR="007060DC" w:rsidRPr="00EC6638" w:rsidRDefault="001A3DBA" w:rsidP="00672EE7">
      <w:pPr>
        <w:pStyle w:val="BodyStyle"/>
        <w:tabs>
          <w:tab w:val="clear" w:pos="720"/>
          <w:tab w:val="clear" w:pos="1440"/>
          <w:tab w:val="left" w:pos="1260"/>
        </w:tabs>
        <w:spacing w:after="120"/>
        <w:rPr>
          <w:rFonts w:asciiTheme="minorHAnsi" w:hAnsiTheme="minorHAnsi"/>
          <w:b/>
          <w:sz w:val="22"/>
          <w:szCs w:val="22"/>
        </w:rPr>
      </w:pPr>
      <w:r w:rsidRPr="00EC6638">
        <w:rPr>
          <w:rFonts w:asciiTheme="minorHAnsi" w:hAnsiTheme="minorHAnsi"/>
          <w:b/>
          <w:sz w:val="22"/>
          <w:szCs w:val="22"/>
        </w:rPr>
        <w:t>FROM:</w:t>
      </w:r>
      <w:r w:rsidRPr="00EC6638">
        <w:rPr>
          <w:rFonts w:asciiTheme="minorHAnsi" w:hAnsiTheme="minorHAnsi"/>
          <w:b/>
          <w:sz w:val="22"/>
          <w:szCs w:val="22"/>
        </w:rPr>
        <w:tab/>
      </w:r>
      <w:r w:rsidR="00E26BFA">
        <w:rPr>
          <w:rFonts w:asciiTheme="minorHAnsi" w:hAnsiTheme="minorHAnsi"/>
          <w:b/>
          <w:sz w:val="22"/>
          <w:szCs w:val="22"/>
        </w:rPr>
        <w:t>American Lobster Technical Committee</w:t>
      </w:r>
    </w:p>
    <w:p w14:paraId="6778FDEE" w14:textId="5CFD36F4" w:rsidR="00D35ABA" w:rsidRPr="00EC6638" w:rsidRDefault="001A3DBA" w:rsidP="00672EE7">
      <w:pPr>
        <w:pStyle w:val="BodyStyle"/>
        <w:tabs>
          <w:tab w:val="clear" w:pos="720"/>
          <w:tab w:val="clear" w:pos="1440"/>
          <w:tab w:val="left" w:pos="1260"/>
        </w:tabs>
        <w:spacing w:after="120"/>
        <w:rPr>
          <w:rFonts w:asciiTheme="minorHAnsi" w:hAnsiTheme="minorHAnsi"/>
          <w:b/>
          <w:sz w:val="22"/>
          <w:szCs w:val="22"/>
        </w:rPr>
      </w:pPr>
      <w:r w:rsidRPr="00EC6638">
        <w:rPr>
          <w:rFonts w:asciiTheme="minorHAnsi" w:hAnsiTheme="minorHAnsi"/>
          <w:b/>
          <w:sz w:val="22"/>
          <w:szCs w:val="22"/>
        </w:rPr>
        <w:t>DATE:</w:t>
      </w:r>
      <w:r w:rsidRPr="00EC6638">
        <w:rPr>
          <w:rFonts w:asciiTheme="minorHAnsi" w:hAnsiTheme="minorHAnsi"/>
          <w:b/>
          <w:sz w:val="22"/>
          <w:szCs w:val="22"/>
        </w:rPr>
        <w:tab/>
      </w:r>
      <w:r w:rsidR="000E54EA">
        <w:rPr>
          <w:rFonts w:asciiTheme="minorHAnsi" w:hAnsiTheme="minorHAnsi"/>
          <w:b/>
          <w:sz w:val="22"/>
          <w:szCs w:val="22"/>
        </w:rPr>
        <w:t>October 7, 2024</w:t>
      </w:r>
      <w:r w:rsidR="007D4D68" w:rsidRPr="00EC6638">
        <w:rPr>
          <w:rFonts w:asciiTheme="minorHAnsi" w:hAnsiTheme="minorHAnsi"/>
          <w:b/>
          <w:sz w:val="22"/>
          <w:szCs w:val="22"/>
        </w:rPr>
        <w:tab/>
      </w:r>
    </w:p>
    <w:p w14:paraId="040C49A8" w14:textId="5132B7BA" w:rsidR="00E26BFA" w:rsidRPr="00672EE7" w:rsidRDefault="001A3DBA" w:rsidP="00672EE7">
      <w:pPr>
        <w:pStyle w:val="BodyStyle"/>
        <w:tabs>
          <w:tab w:val="clear" w:pos="720"/>
          <w:tab w:val="clear" w:pos="1440"/>
          <w:tab w:val="left" w:pos="1260"/>
        </w:tabs>
        <w:spacing w:after="120"/>
        <w:ind w:left="1260" w:hanging="1260"/>
        <w:rPr>
          <w:rFonts w:asciiTheme="minorHAnsi" w:hAnsiTheme="minorHAnsi"/>
          <w:b/>
          <w:sz w:val="22"/>
          <w:szCs w:val="22"/>
        </w:rPr>
      </w:pPr>
      <w:r w:rsidRPr="00EC6638">
        <w:rPr>
          <w:rFonts w:asciiTheme="minorHAnsi" w:hAnsiTheme="minorHAnsi"/>
          <w:b/>
          <w:sz w:val="22"/>
          <w:szCs w:val="22"/>
        </w:rPr>
        <w:t>SUBJECT:</w:t>
      </w:r>
      <w:r w:rsidRPr="00EC6638">
        <w:rPr>
          <w:rFonts w:asciiTheme="minorHAnsi" w:hAnsiTheme="minorHAnsi"/>
          <w:sz w:val="22"/>
          <w:szCs w:val="22"/>
        </w:rPr>
        <w:tab/>
      </w:r>
      <w:r w:rsidR="00E26BFA" w:rsidRPr="00E26BFA">
        <w:rPr>
          <w:rFonts w:asciiTheme="minorHAnsi" w:hAnsiTheme="minorHAnsi"/>
          <w:b/>
          <w:sz w:val="22"/>
          <w:szCs w:val="22"/>
        </w:rPr>
        <w:t>202</w:t>
      </w:r>
      <w:r w:rsidR="00EC32BC">
        <w:rPr>
          <w:rFonts w:asciiTheme="minorHAnsi" w:hAnsiTheme="minorHAnsi"/>
          <w:b/>
          <w:sz w:val="22"/>
          <w:szCs w:val="22"/>
        </w:rPr>
        <w:t>4</w:t>
      </w:r>
      <w:r w:rsidR="007B4732">
        <w:rPr>
          <w:rFonts w:asciiTheme="minorHAnsi" w:hAnsiTheme="minorHAnsi"/>
          <w:b/>
          <w:sz w:val="22"/>
          <w:szCs w:val="22"/>
        </w:rPr>
        <w:t xml:space="preserve"> </w:t>
      </w:r>
      <w:r w:rsidR="00E26BFA" w:rsidRPr="00E26BFA">
        <w:rPr>
          <w:rFonts w:asciiTheme="minorHAnsi" w:hAnsiTheme="minorHAnsi"/>
          <w:b/>
          <w:sz w:val="22"/>
          <w:szCs w:val="22"/>
        </w:rPr>
        <w:t>American Lobster Data Update</w:t>
      </w:r>
    </w:p>
    <w:p w14:paraId="69445ABD" w14:textId="77777777" w:rsidR="00672EE7" w:rsidRDefault="00672EE7" w:rsidP="00672EE7">
      <w:pPr>
        <w:spacing w:after="0"/>
        <w:rPr>
          <w:b/>
        </w:rPr>
      </w:pPr>
    </w:p>
    <w:p w14:paraId="66726009" w14:textId="1C891A5C" w:rsidR="00E26BFA" w:rsidRPr="00B67D59" w:rsidRDefault="00B67D59" w:rsidP="00E26BFA">
      <w:pPr>
        <w:rPr>
          <w:b/>
          <w:u w:val="single"/>
        </w:rPr>
      </w:pPr>
      <w:r w:rsidRPr="00B67D59">
        <w:rPr>
          <w:b/>
          <w:u w:val="single"/>
        </w:rPr>
        <w:t>Data Update</w:t>
      </w:r>
    </w:p>
    <w:p w14:paraId="4CDB2757" w14:textId="5CE96653" w:rsidR="00E26BFA" w:rsidRDefault="00E26BFA" w:rsidP="00E26BFA">
      <w:r>
        <w:t xml:space="preserve">An annual Data Update process between </w:t>
      </w:r>
      <w:r w:rsidR="006742B8">
        <w:t xml:space="preserve">American lobster </w:t>
      </w:r>
      <w:r>
        <w:t>stock assessments was recommended during the 2020 stock assessment to more closely monitor changes in stock abundance. The objective of this pro</w:t>
      </w:r>
      <w:r w:rsidR="00E66821">
        <w:t>cess is to present information—</w:t>
      </w:r>
      <w:r>
        <w:t xml:space="preserve">including any potentially concerning </w:t>
      </w:r>
      <w:r w:rsidR="00E66821">
        <w:t>trends—that</w:t>
      </w:r>
      <w:r>
        <w:t xml:space="preserve"> could support additional research or consideration of changes to management. Data sets </w:t>
      </w:r>
      <w:r w:rsidR="008148D9">
        <w:t>updated during</w:t>
      </w:r>
      <w:r>
        <w:t xml:space="preserve"> this process </w:t>
      </w:r>
      <w:r w:rsidR="008148D9">
        <w:t>are</w:t>
      </w:r>
      <w:r>
        <w:t xml:space="preserve"> generally those that indicate exploitable lobster stock abundance conditions expected in subsequent years and include:</w:t>
      </w:r>
    </w:p>
    <w:p w14:paraId="0E8107EE" w14:textId="2F5C4EB8" w:rsidR="00E26BFA" w:rsidRDefault="007928CA" w:rsidP="00E26BFA">
      <w:pPr>
        <w:pStyle w:val="ListParagraph"/>
        <w:numPr>
          <w:ilvl w:val="0"/>
          <w:numId w:val="7"/>
        </w:numPr>
        <w:spacing w:after="160" w:line="259" w:lineRule="auto"/>
      </w:pPr>
      <w:r>
        <w:t>Young-of-year (</w:t>
      </w:r>
      <w:r w:rsidR="00E26BFA">
        <w:t>YOY</w:t>
      </w:r>
      <w:r>
        <w:t>)</w:t>
      </w:r>
      <w:r w:rsidR="00E26BFA">
        <w:t xml:space="preserve"> settlement indicator</w:t>
      </w:r>
      <w:r w:rsidR="006742B8">
        <w:t>s</w:t>
      </w:r>
    </w:p>
    <w:p w14:paraId="0719E857" w14:textId="77777777" w:rsidR="00E26BFA" w:rsidRDefault="00E26BFA" w:rsidP="00E26BFA">
      <w:pPr>
        <w:pStyle w:val="ListParagraph"/>
        <w:numPr>
          <w:ilvl w:val="0"/>
          <w:numId w:val="7"/>
        </w:numPr>
        <w:spacing w:after="160" w:line="259" w:lineRule="auto"/>
      </w:pPr>
      <w:r>
        <w:t xml:space="preserve">Trawl survey indicators, including recruit abundance (71‐80 mm </w:t>
      </w:r>
      <w:r w:rsidR="001319D3">
        <w:t xml:space="preserve">carapace length </w:t>
      </w:r>
      <w:r>
        <w:t>lobs</w:t>
      </w:r>
      <w:r w:rsidR="001319D3">
        <w:t>ters) and survey encounter rate</w:t>
      </w:r>
    </w:p>
    <w:p w14:paraId="07F311E6" w14:textId="62C46114" w:rsidR="00E26BFA" w:rsidRDefault="00E26BFA" w:rsidP="00E26BFA">
      <w:pPr>
        <w:pStyle w:val="ListParagraph"/>
        <w:numPr>
          <w:ilvl w:val="0"/>
          <w:numId w:val="7"/>
        </w:numPr>
        <w:spacing w:after="160" w:line="259" w:lineRule="auto"/>
      </w:pPr>
      <w:r>
        <w:t>Ventless trap survey</w:t>
      </w:r>
      <w:r w:rsidR="007928CA">
        <w:t xml:space="preserve"> (VTS)</w:t>
      </w:r>
      <w:r>
        <w:t xml:space="preserve"> sex</w:t>
      </w:r>
      <w:r w:rsidR="001319D3">
        <w:t>‐specific abundance</w:t>
      </w:r>
      <w:r>
        <w:t xml:space="preserve"> indices (53</w:t>
      </w:r>
      <w:r w:rsidR="00E65BB1">
        <w:t xml:space="preserve"> </w:t>
      </w:r>
      <w:r>
        <w:t>mm+</w:t>
      </w:r>
      <w:r w:rsidR="001319D3">
        <w:t xml:space="preserve"> carapace length lobsters</w:t>
      </w:r>
      <w:r>
        <w:t>)</w:t>
      </w:r>
    </w:p>
    <w:p w14:paraId="13025230" w14:textId="7663754C" w:rsidR="00E26BFA" w:rsidRDefault="008148D9" w:rsidP="00E26BFA">
      <w:r>
        <w:t xml:space="preserve">This is the </w:t>
      </w:r>
      <w:r w:rsidR="0006441A">
        <w:t>fourth</w:t>
      </w:r>
      <w:r>
        <w:t xml:space="preserve"> Data Update and provides an update of last year’s review with the addition of </w:t>
      </w:r>
      <w:r w:rsidR="003976CA">
        <w:t>202</w:t>
      </w:r>
      <w:r w:rsidR="0006441A">
        <w:t>3</w:t>
      </w:r>
      <w:r w:rsidR="007B4732">
        <w:t xml:space="preserve"> </w:t>
      </w:r>
      <w:r>
        <w:t>data</w:t>
      </w:r>
      <w:r w:rsidR="00E26BFA">
        <w:t xml:space="preserve">. Indicator status (negative, neutral, or positive – see table below) was determined relative to the percentiles of the stock assessment time series (i.e., data set start year through 2018). </w:t>
      </w:r>
    </w:p>
    <w:tbl>
      <w:tblPr>
        <w:tblStyle w:val="TableGrid"/>
        <w:tblW w:w="0" w:type="auto"/>
        <w:tblInd w:w="108" w:type="dxa"/>
        <w:tblLook w:val="04A0" w:firstRow="1" w:lastRow="0" w:firstColumn="1" w:lastColumn="0" w:noHBand="0" w:noVBand="1"/>
      </w:tblPr>
      <w:tblGrid>
        <w:gridCol w:w="3718"/>
        <w:gridCol w:w="1783"/>
        <w:gridCol w:w="2046"/>
        <w:gridCol w:w="1695"/>
      </w:tblGrid>
      <w:tr w:rsidR="00E26BFA" w:rsidRPr="003E5DFB" w14:paraId="7D74F1C8" w14:textId="77777777" w:rsidTr="00203BF0">
        <w:tc>
          <w:tcPr>
            <w:tcW w:w="3718" w:type="dxa"/>
            <w:vAlign w:val="center"/>
          </w:tcPr>
          <w:p w14:paraId="5B17C6AA" w14:textId="77777777" w:rsidR="00E26BFA" w:rsidRPr="00355D68" w:rsidRDefault="00E26BFA" w:rsidP="00203BF0">
            <w:pPr>
              <w:autoSpaceDE w:val="0"/>
              <w:autoSpaceDN w:val="0"/>
              <w:adjustRightInd w:val="0"/>
              <w:contextualSpacing/>
              <w:rPr>
                <w:rFonts w:asciiTheme="minorHAnsi" w:hAnsiTheme="minorHAnsi" w:cstheme="minorHAnsi"/>
                <w:b/>
              </w:rPr>
            </w:pPr>
            <w:r w:rsidRPr="00355D68">
              <w:rPr>
                <w:rFonts w:asciiTheme="minorHAnsi" w:hAnsiTheme="minorHAnsi" w:cstheme="minorHAnsi"/>
                <w:b/>
              </w:rPr>
              <w:t>Indicator</w:t>
            </w:r>
          </w:p>
        </w:tc>
        <w:tc>
          <w:tcPr>
            <w:tcW w:w="1783" w:type="dxa"/>
            <w:tcBorders>
              <w:bottom w:val="single" w:sz="4" w:space="0" w:color="auto"/>
            </w:tcBorders>
            <w:vAlign w:val="center"/>
          </w:tcPr>
          <w:p w14:paraId="3A2D4FAF" w14:textId="77777777" w:rsidR="00E26BFA" w:rsidRPr="003E5DFB" w:rsidRDefault="00E26BFA" w:rsidP="00203BF0">
            <w:pPr>
              <w:autoSpaceDE w:val="0"/>
              <w:autoSpaceDN w:val="0"/>
              <w:adjustRightInd w:val="0"/>
              <w:contextualSpacing/>
              <w:jc w:val="center"/>
              <w:rPr>
                <w:rFonts w:asciiTheme="minorHAnsi" w:hAnsiTheme="minorHAnsi" w:cstheme="minorHAnsi"/>
                <w:b/>
              </w:rPr>
            </w:pPr>
            <w:r w:rsidRPr="003E5DFB">
              <w:rPr>
                <w:rFonts w:asciiTheme="minorHAnsi" w:hAnsiTheme="minorHAnsi" w:cstheme="minorHAnsi"/>
                <w:b/>
              </w:rPr>
              <w:t>&lt; 25</w:t>
            </w:r>
            <w:r w:rsidRPr="003E5DFB">
              <w:rPr>
                <w:rFonts w:asciiTheme="minorHAnsi" w:hAnsiTheme="minorHAnsi" w:cstheme="minorHAnsi"/>
                <w:b/>
                <w:vertAlign w:val="superscript"/>
              </w:rPr>
              <w:t>th</w:t>
            </w:r>
            <w:r w:rsidRPr="003E5DFB">
              <w:rPr>
                <w:rFonts w:asciiTheme="minorHAnsi" w:hAnsiTheme="minorHAnsi" w:cstheme="minorHAnsi"/>
                <w:b/>
              </w:rPr>
              <w:t xml:space="preserve"> percentile</w:t>
            </w:r>
          </w:p>
        </w:tc>
        <w:tc>
          <w:tcPr>
            <w:tcW w:w="2046" w:type="dxa"/>
            <w:tcBorders>
              <w:bottom w:val="single" w:sz="4" w:space="0" w:color="auto"/>
            </w:tcBorders>
            <w:vAlign w:val="center"/>
          </w:tcPr>
          <w:p w14:paraId="7756C3F0" w14:textId="77777777" w:rsidR="00E26BFA" w:rsidRPr="003E5DFB" w:rsidRDefault="00E26BFA" w:rsidP="00203BF0">
            <w:pPr>
              <w:autoSpaceDE w:val="0"/>
              <w:autoSpaceDN w:val="0"/>
              <w:adjustRightInd w:val="0"/>
              <w:contextualSpacing/>
              <w:jc w:val="center"/>
              <w:rPr>
                <w:rFonts w:asciiTheme="minorHAnsi" w:hAnsiTheme="minorHAnsi" w:cstheme="minorHAnsi"/>
                <w:b/>
              </w:rPr>
            </w:pPr>
            <w:r w:rsidRPr="003E5DFB">
              <w:rPr>
                <w:rFonts w:asciiTheme="minorHAnsi" w:hAnsiTheme="minorHAnsi" w:cstheme="minorHAnsi"/>
                <w:b/>
              </w:rPr>
              <w:t>Between 25</w:t>
            </w:r>
            <w:r w:rsidRPr="003E5DFB">
              <w:rPr>
                <w:rFonts w:asciiTheme="minorHAnsi" w:hAnsiTheme="minorHAnsi" w:cstheme="minorHAnsi"/>
                <w:b/>
                <w:vertAlign w:val="superscript"/>
              </w:rPr>
              <w:t>th</w:t>
            </w:r>
            <w:r w:rsidRPr="003E5DFB">
              <w:rPr>
                <w:rFonts w:asciiTheme="minorHAnsi" w:hAnsiTheme="minorHAnsi" w:cstheme="minorHAnsi"/>
                <w:b/>
              </w:rPr>
              <w:t xml:space="preserve"> and 75</w:t>
            </w:r>
            <w:r w:rsidRPr="003E5DFB">
              <w:rPr>
                <w:rFonts w:asciiTheme="minorHAnsi" w:hAnsiTheme="minorHAnsi" w:cstheme="minorHAnsi"/>
                <w:b/>
                <w:vertAlign w:val="superscript"/>
              </w:rPr>
              <w:t>th</w:t>
            </w:r>
            <w:r w:rsidRPr="003E5DFB">
              <w:rPr>
                <w:rFonts w:asciiTheme="minorHAnsi" w:hAnsiTheme="minorHAnsi" w:cstheme="minorHAnsi"/>
                <w:b/>
              </w:rPr>
              <w:t xml:space="preserve"> percentile</w:t>
            </w:r>
          </w:p>
        </w:tc>
        <w:tc>
          <w:tcPr>
            <w:tcW w:w="1695" w:type="dxa"/>
            <w:vAlign w:val="center"/>
          </w:tcPr>
          <w:p w14:paraId="56A7C672" w14:textId="77777777" w:rsidR="00E26BFA" w:rsidRPr="003E5DFB" w:rsidRDefault="00E26BFA" w:rsidP="00203BF0">
            <w:pPr>
              <w:autoSpaceDE w:val="0"/>
              <w:autoSpaceDN w:val="0"/>
              <w:adjustRightInd w:val="0"/>
              <w:contextualSpacing/>
              <w:jc w:val="center"/>
              <w:rPr>
                <w:rFonts w:asciiTheme="minorHAnsi" w:hAnsiTheme="minorHAnsi" w:cstheme="minorHAnsi"/>
                <w:b/>
              </w:rPr>
            </w:pPr>
            <w:r w:rsidRPr="003E5DFB">
              <w:rPr>
                <w:rFonts w:asciiTheme="minorHAnsi" w:hAnsiTheme="minorHAnsi" w:cstheme="minorHAnsi"/>
                <w:b/>
              </w:rPr>
              <w:t>&gt; 75</w:t>
            </w:r>
            <w:r w:rsidRPr="003E5DFB">
              <w:rPr>
                <w:rFonts w:asciiTheme="minorHAnsi" w:hAnsiTheme="minorHAnsi" w:cstheme="minorHAnsi"/>
                <w:b/>
                <w:vertAlign w:val="superscript"/>
              </w:rPr>
              <w:t>th</w:t>
            </w:r>
            <w:r w:rsidRPr="003E5DFB">
              <w:rPr>
                <w:rFonts w:asciiTheme="minorHAnsi" w:hAnsiTheme="minorHAnsi" w:cstheme="minorHAnsi"/>
                <w:b/>
              </w:rPr>
              <w:t xml:space="preserve"> percentile</w:t>
            </w:r>
          </w:p>
        </w:tc>
      </w:tr>
      <w:tr w:rsidR="00E26BFA" w:rsidRPr="003E5DFB" w14:paraId="35AFE24A" w14:textId="77777777" w:rsidTr="00203BF0">
        <w:tc>
          <w:tcPr>
            <w:tcW w:w="3718" w:type="dxa"/>
          </w:tcPr>
          <w:p w14:paraId="0A6C74DA" w14:textId="77777777" w:rsidR="00E26BFA" w:rsidRPr="003E5DFB" w:rsidRDefault="00E26BFA" w:rsidP="00203BF0">
            <w:pPr>
              <w:autoSpaceDE w:val="0"/>
              <w:autoSpaceDN w:val="0"/>
              <w:adjustRightInd w:val="0"/>
              <w:contextualSpacing/>
              <w:rPr>
                <w:rFonts w:asciiTheme="minorHAnsi" w:hAnsiTheme="minorHAnsi" w:cstheme="minorHAnsi"/>
              </w:rPr>
            </w:pPr>
            <w:r>
              <w:rPr>
                <w:rFonts w:asciiTheme="minorHAnsi" w:hAnsiTheme="minorHAnsi" w:cstheme="minorHAnsi"/>
              </w:rPr>
              <w:t>YOY settlement</w:t>
            </w:r>
            <w:r w:rsidRPr="003E5DFB">
              <w:rPr>
                <w:rFonts w:asciiTheme="minorHAnsi" w:hAnsiTheme="minorHAnsi" w:cstheme="minorHAnsi"/>
              </w:rPr>
              <w:t xml:space="preserve"> (larval or YOY)</w:t>
            </w:r>
          </w:p>
        </w:tc>
        <w:tc>
          <w:tcPr>
            <w:tcW w:w="1783" w:type="dxa"/>
            <w:shd w:val="clear" w:color="auto" w:fill="000000" w:themeFill="text1"/>
            <w:vAlign w:val="center"/>
          </w:tcPr>
          <w:p w14:paraId="7DCB97F2" w14:textId="77777777" w:rsidR="00E26BFA" w:rsidRPr="003E5DFB" w:rsidRDefault="00E26BFA" w:rsidP="00203BF0">
            <w:pPr>
              <w:autoSpaceDE w:val="0"/>
              <w:autoSpaceDN w:val="0"/>
              <w:adjustRightInd w:val="0"/>
              <w:spacing w:after="200" w:line="276" w:lineRule="auto"/>
              <w:contextualSpacing/>
              <w:jc w:val="center"/>
              <w:rPr>
                <w:rFonts w:asciiTheme="minorHAnsi" w:hAnsiTheme="minorHAnsi" w:cstheme="minorHAnsi"/>
                <w:color w:val="FFFFFF" w:themeColor="background1"/>
              </w:rPr>
            </w:pPr>
            <w:r w:rsidRPr="003E5DFB">
              <w:rPr>
                <w:rFonts w:asciiTheme="minorHAnsi" w:hAnsiTheme="minorHAnsi" w:cstheme="minorHAnsi"/>
                <w:color w:val="FFFFFF" w:themeColor="background1"/>
              </w:rPr>
              <w:t>Negative</w:t>
            </w:r>
          </w:p>
        </w:tc>
        <w:tc>
          <w:tcPr>
            <w:tcW w:w="2046" w:type="dxa"/>
            <w:shd w:val="clear" w:color="auto" w:fill="D9D9D9" w:themeFill="background1" w:themeFillShade="D9"/>
            <w:vAlign w:val="center"/>
          </w:tcPr>
          <w:p w14:paraId="06912D6E" w14:textId="77777777" w:rsidR="00E26BFA" w:rsidRPr="003E5DFB" w:rsidRDefault="00E26BFA" w:rsidP="00203BF0">
            <w:pPr>
              <w:autoSpaceDE w:val="0"/>
              <w:autoSpaceDN w:val="0"/>
              <w:adjustRightInd w:val="0"/>
              <w:contextualSpacing/>
              <w:jc w:val="center"/>
              <w:rPr>
                <w:rFonts w:asciiTheme="minorHAnsi" w:hAnsiTheme="minorHAnsi" w:cstheme="minorHAnsi"/>
              </w:rPr>
            </w:pPr>
            <w:r w:rsidRPr="003E5DFB">
              <w:rPr>
                <w:rFonts w:asciiTheme="minorHAnsi" w:hAnsiTheme="minorHAnsi" w:cstheme="minorHAnsi"/>
              </w:rPr>
              <w:t>Neutral</w:t>
            </w:r>
          </w:p>
        </w:tc>
        <w:tc>
          <w:tcPr>
            <w:tcW w:w="1695" w:type="dxa"/>
            <w:vAlign w:val="center"/>
          </w:tcPr>
          <w:p w14:paraId="0A889B06" w14:textId="77777777" w:rsidR="00E26BFA" w:rsidRPr="003E5DFB" w:rsidRDefault="00E26BFA" w:rsidP="00203BF0">
            <w:pPr>
              <w:autoSpaceDE w:val="0"/>
              <w:autoSpaceDN w:val="0"/>
              <w:adjustRightInd w:val="0"/>
              <w:contextualSpacing/>
              <w:jc w:val="center"/>
              <w:rPr>
                <w:rFonts w:asciiTheme="minorHAnsi" w:hAnsiTheme="minorHAnsi" w:cstheme="minorHAnsi"/>
              </w:rPr>
            </w:pPr>
            <w:r w:rsidRPr="003E5DFB">
              <w:rPr>
                <w:rFonts w:asciiTheme="minorHAnsi" w:hAnsiTheme="minorHAnsi" w:cstheme="minorHAnsi"/>
              </w:rPr>
              <w:t>Positive</w:t>
            </w:r>
          </w:p>
        </w:tc>
      </w:tr>
      <w:tr w:rsidR="00E26BFA" w:rsidRPr="003E5DFB" w14:paraId="004D817E" w14:textId="77777777" w:rsidTr="00203BF0">
        <w:tc>
          <w:tcPr>
            <w:tcW w:w="3718" w:type="dxa"/>
          </w:tcPr>
          <w:p w14:paraId="3788F1B2" w14:textId="77777777" w:rsidR="00E26BFA" w:rsidRPr="003E5DFB" w:rsidRDefault="00E26BFA" w:rsidP="00203BF0">
            <w:pPr>
              <w:autoSpaceDE w:val="0"/>
              <w:autoSpaceDN w:val="0"/>
              <w:adjustRightInd w:val="0"/>
              <w:contextualSpacing/>
              <w:rPr>
                <w:rFonts w:asciiTheme="minorHAnsi" w:hAnsiTheme="minorHAnsi" w:cstheme="minorHAnsi"/>
              </w:rPr>
            </w:pPr>
            <w:r>
              <w:rPr>
                <w:rFonts w:asciiTheme="minorHAnsi" w:hAnsiTheme="minorHAnsi" w:cstheme="minorHAnsi"/>
              </w:rPr>
              <w:t>Trawl survey r</w:t>
            </w:r>
            <w:r w:rsidRPr="003E5DFB">
              <w:rPr>
                <w:rFonts w:asciiTheme="minorHAnsi" w:hAnsiTheme="minorHAnsi" w:cstheme="minorHAnsi"/>
              </w:rPr>
              <w:t>ecruit abundance</w:t>
            </w:r>
          </w:p>
        </w:tc>
        <w:tc>
          <w:tcPr>
            <w:tcW w:w="1783" w:type="dxa"/>
            <w:shd w:val="clear" w:color="auto" w:fill="000000" w:themeFill="text1"/>
          </w:tcPr>
          <w:p w14:paraId="1BAD1814" w14:textId="77777777" w:rsidR="00E26BFA" w:rsidRPr="003E5DFB" w:rsidRDefault="00E26BFA" w:rsidP="00203BF0">
            <w:pPr>
              <w:autoSpaceDE w:val="0"/>
              <w:autoSpaceDN w:val="0"/>
              <w:adjustRightInd w:val="0"/>
              <w:spacing w:after="200" w:line="276" w:lineRule="auto"/>
              <w:contextualSpacing/>
              <w:jc w:val="center"/>
              <w:rPr>
                <w:rFonts w:asciiTheme="minorHAnsi" w:hAnsiTheme="minorHAnsi" w:cstheme="minorHAnsi"/>
                <w:color w:val="FFFFFF" w:themeColor="background1"/>
              </w:rPr>
            </w:pPr>
            <w:r w:rsidRPr="003E5DFB">
              <w:rPr>
                <w:rFonts w:asciiTheme="minorHAnsi" w:hAnsiTheme="minorHAnsi" w:cstheme="minorHAnsi"/>
                <w:color w:val="FFFFFF" w:themeColor="background1"/>
              </w:rPr>
              <w:t>Negative</w:t>
            </w:r>
          </w:p>
        </w:tc>
        <w:tc>
          <w:tcPr>
            <w:tcW w:w="2046" w:type="dxa"/>
            <w:shd w:val="clear" w:color="auto" w:fill="D9D9D9" w:themeFill="background1" w:themeFillShade="D9"/>
          </w:tcPr>
          <w:p w14:paraId="5A8165A5" w14:textId="77777777" w:rsidR="00E26BFA" w:rsidRPr="003E5DFB" w:rsidRDefault="00E26BFA" w:rsidP="00203BF0">
            <w:pPr>
              <w:autoSpaceDE w:val="0"/>
              <w:autoSpaceDN w:val="0"/>
              <w:adjustRightInd w:val="0"/>
              <w:contextualSpacing/>
              <w:jc w:val="center"/>
              <w:rPr>
                <w:rFonts w:asciiTheme="minorHAnsi" w:hAnsiTheme="minorHAnsi" w:cstheme="minorHAnsi"/>
              </w:rPr>
            </w:pPr>
            <w:r w:rsidRPr="003E5DFB">
              <w:rPr>
                <w:rFonts w:asciiTheme="minorHAnsi" w:hAnsiTheme="minorHAnsi" w:cstheme="minorHAnsi"/>
              </w:rPr>
              <w:t>Neutral</w:t>
            </w:r>
          </w:p>
        </w:tc>
        <w:tc>
          <w:tcPr>
            <w:tcW w:w="1695" w:type="dxa"/>
          </w:tcPr>
          <w:p w14:paraId="3125557E" w14:textId="77777777" w:rsidR="00E26BFA" w:rsidRPr="003E5DFB" w:rsidRDefault="00E26BFA" w:rsidP="00203BF0">
            <w:pPr>
              <w:autoSpaceDE w:val="0"/>
              <w:autoSpaceDN w:val="0"/>
              <w:adjustRightInd w:val="0"/>
              <w:contextualSpacing/>
              <w:jc w:val="center"/>
              <w:rPr>
                <w:rFonts w:asciiTheme="minorHAnsi" w:hAnsiTheme="minorHAnsi" w:cstheme="minorHAnsi"/>
              </w:rPr>
            </w:pPr>
            <w:r w:rsidRPr="003E5DFB">
              <w:rPr>
                <w:rFonts w:asciiTheme="minorHAnsi" w:hAnsiTheme="minorHAnsi" w:cstheme="minorHAnsi"/>
              </w:rPr>
              <w:t>Positive</w:t>
            </w:r>
          </w:p>
        </w:tc>
      </w:tr>
      <w:tr w:rsidR="00E26BFA" w:rsidRPr="003E5DFB" w14:paraId="48240D3A" w14:textId="77777777" w:rsidTr="00203BF0">
        <w:tc>
          <w:tcPr>
            <w:tcW w:w="3718" w:type="dxa"/>
          </w:tcPr>
          <w:p w14:paraId="386D7386" w14:textId="77777777" w:rsidR="00E26BFA" w:rsidRDefault="00E26BFA" w:rsidP="00203BF0">
            <w:pPr>
              <w:autoSpaceDE w:val="0"/>
              <w:autoSpaceDN w:val="0"/>
              <w:adjustRightInd w:val="0"/>
              <w:contextualSpacing/>
              <w:rPr>
                <w:rFonts w:cstheme="minorHAnsi"/>
              </w:rPr>
            </w:pPr>
            <w:r>
              <w:rPr>
                <w:rFonts w:asciiTheme="minorHAnsi" w:hAnsiTheme="minorHAnsi" w:cstheme="minorHAnsi"/>
              </w:rPr>
              <w:t>Trawl survey encounter rate</w:t>
            </w:r>
          </w:p>
        </w:tc>
        <w:tc>
          <w:tcPr>
            <w:tcW w:w="1783" w:type="dxa"/>
            <w:shd w:val="clear" w:color="auto" w:fill="000000" w:themeFill="text1"/>
            <w:vAlign w:val="center"/>
          </w:tcPr>
          <w:p w14:paraId="59F5B0B9" w14:textId="77777777" w:rsidR="00E26BFA" w:rsidRPr="003E5DFB" w:rsidRDefault="00E26BFA" w:rsidP="00203BF0">
            <w:pPr>
              <w:autoSpaceDE w:val="0"/>
              <w:autoSpaceDN w:val="0"/>
              <w:adjustRightInd w:val="0"/>
              <w:spacing w:after="200" w:line="276" w:lineRule="auto"/>
              <w:contextualSpacing/>
              <w:jc w:val="center"/>
              <w:rPr>
                <w:rFonts w:cstheme="minorHAnsi"/>
                <w:color w:val="FFFFFF" w:themeColor="background1"/>
              </w:rPr>
            </w:pPr>
            <w:r w:rsidRPr="003E5DFB">
              <w:rPr>
                <w:rFonts w:asciiTheme="minorHAnsi" w:hAnsiTheme="minorHAnsi" w:cstheme="minorHAnsi"/>
                <w:color w:val="FFFFFF" w:themeColor="background1"/>
              </w:rPr>
              <w:t>Negative</w:t>
            </w:r>
          </w:p>
        </w:tc>
        <w:tc>
          <w:tcPr>
            <w:tcW w:w="2046" w:type="dxa"/>
            <w:shd w:val="clear" w:color="auto" w:fill="D9D9D9" w:themeFill="background1" w:themeFillShade="D9"/>
            <w:vAlign w:val="center"/>
          </w:tcPr>
          <w:p w14:paraId="418997A7" w14:textId="77777777" w:rsidR="00E26BFA" w:rsidRPr="003E5DFB" w:rsidRDefault="00E26BFA" w:rsidP="00203BF0">
            <w:pPr>
              <w:autoSpaceDE w:val="0"/>
              <w:autoSpaceDN w:val="0"/>
              <w:adjustRightInd w:val="0"/>
              <w:contextualSpacing/>
              <w:jc w:val="center"/>
              <w:rPr>
                <w:rFonts w:cstheme="minorHAnsi"/>
              </w:rPr>
            </w:pPr>
            <w:r w:rsidRPr="003E5DFB">
              <w:rPr>
                <w:rFonts w:asciiTheme="minorHAnsi" w:hAnsiTheme="minorHAnsi" w:cstheme="minorHAnsi"/>
              </w:rPr>
              <w:t>Neutral</w:t>
            </w:r>
          </w:p>
        </w:tc>
        <w:tc>
          <w:tcPr>
            <w:tcW w:w="1695" w:type="dxa"/>
            <w:vAlign w:val="center"/>
          </w:tcPr>
          <w:p w14:paraId="568BB177" w14:textId="77777777" w:rsidR="00E26BFA" w:rsidRPr="003E5DFB" w:rsidRDefault="00E26BFA" w:rsidP="00203BF0">
            <w:pPr>
              <w:autoSpaceDE w:val="0"/>
              <w:autoSpaceDN w:val="0"/>
              <w:adjustRightInd w:val="0"/>
              <w:contextualSpacing/>
              <w:jc w:val="center"/>
              <w:rPr>
                <w:rFonts w:cstheme="minorHAnsi"/>
              </w:rPr>
            </w:pPr>
            <w:r w:rsidRPr="003E5DFB">
              <w:rPr>
                <w:rFonts w:asciiTheme="minorHAnsi" w:hAnsiTheme="minorHAnsi" w:cstheme="minorHAnsi"/>
              </w:rPr>
              <w:t>Positive</w:t>
            </w:r>
          </w:p>
        </w:tc>
      </w:tr>
      <w:tr w:rsidR="00E26BFA" w:rsidRPr="003E5DFB" w14:paraId="3D7F633E" w14:textId="77777777" w:rsidTr="00203BF0">
        <w:tc>
          <w:tcPr>
            <w:tcW w:w="3718" w:type="dxa"/>
          </w:tcPr>
          <w:p w14:paraId="2A1C5299" w14:textId="77777777" w:rsidR="00E26BFA" w:rsidRPr="003E5DFB" w:rsidRDefault="00E26BFA" w:rsidP="00203BF0">
            <w:pPr>
              <w:autoSpaceDE w:val="0"/>
              <w:autoSpaceDN w:val="0"/>
              <w:adjustRightInd w:val="0"/>
              <w:contextualSpacing/>
              <w:rPr>
                <w:rFonts w:asciiTheme="minorHAnsi" w:hAnsiTheme="minorHAnsi" w:cstheme="minorHAnsi"/>
              </w:rPr>
            </w:pPr>
            <w:r>
              <w:rPr>
                <w:rFonts w:asciiTheme="minorHAnsi" w:hAnsiTheme="minorHAnsi" w:cstheme="minorHAnsi"/>
              </w:rPr>
              <w:t xml:space="preserve">Ventless trap </w:t>
            </w:r>
            <w:r w:rsidR="0004767E">
              <w:rPr>
                <w:rFonts w:asciiTheme="minorHAnsi" w:hAnsiTheme="minorHAnsi" w:cstheme="minorHAnsi"/>
              </w:rPr>
              <w:t xml:space="preserve">survey </w:t>
            </w:r>
            <w:r>
              <w:rPr>
                <w:rFonts w:asciiTheme="minorHAnsi" w:hAnsiTheme="minorHAnsi" w:cstheme="minorHAnsi"/>
              </w:rPr>
              <w:t>abundance</w:t>
            </w:r>
          </w:p>
        </w:tc>
        <w:tc>
          <w:tcPr>
            <w:tcW w:w="1783" w:type="dxa"/>
            <w:shd w:val="clear" w:color="auto" w:fill="000000" w:themeFill="text1"/>
            <w:vAlign w:val="center"/>
          </w:tcPr>
          <w:p w14:paraId="1B9979F9" w14:textId="77777777" w:rsidR="00E26BFA" w:rsidRPr="003E5DFB" w:rsidRDefault="00E26BFA" w:rsidP="00203BF0">
            <w:pPr>
              <w:autoSpaceDE w:val="0"/>
              <w:autoSpaceDN w:val="0"/>
              <w:adjustRightInd w:val="0"/>
              <w:spacing w:after="200" w:line="276" w:lineRule="auto"/>
              <w:contextualSpacing/>
              <w:jc w:val="center"/>
              <w:rPr>
                <w:rFonts w:asciiTheme="minorHAnsi" w:hAnsiTheme="minorHAnsi" w:cstheme="minorHAnsi"/>
                <w:color w:val="FFFFFF" w:themeColor="background1"/>
              </w:rPr>
            </w:pPr>
            <w:r w:rsidRPr="003E5DFB">
              <w:rPr>
                <w:rFonts w:asciiTheme="minorHAnsi" w:hAnsiTheme="minorHAnsi" w:cstheme="minorHAnsi"/>
                <w:color w:val="FFFFFF" w:themeColor="background1"/>
              </w:rPr>
              <w:t>Negative</w:t>
            </w:r>
          </w:p>
        </w:tc>
        <w:tc>
          <w:tcPr>
            <w:tcW w:w="2046" w:type="dxa"/>
            <w:shd w:val="clear" w:color="auto" w:fill="D9D9D9" w:themeFill="background1" w:themeFillShade="D9"/>
            <w:vAlign w:val="center"/>
          </w:tcPr>
          <w:p w14:paraId="69E8F662" w14:textId="77777777" w:rsidR="00E26BFA" w:rsidRPr="003E5DFB" w:rsidRDefault="00E26BFA" w:rsidP="00203BF0">
            <w:pPr>
              <w:autoSpaceDE w:val="0"/>
              <w:autoSpaceDN w:val="0"/>
              <w:adjustRightInd w:val="0"/>
              <w:contextualSpacing/>
              <w:jc w:val="center"/>
              <w:rPr>
                <w:rFonts w:asciiTheme="minorHAnsi" w:hAnsiTheme="minorHAnsi" w:cstheme="minorHAnsi"/>
              </w:rPr>
            </w:pPr>
            <w:r w:rsidRPr="003E5DFB">
              <w:rPr>
                <w:rFonts w:asciiTheme="minorHAnsi" w:hAnsiTheme="minorHAnsi" w:cstheme="minorHAnsi"/>
              </w:rPr>
              <w:t>Neutral</w:t>
            </w:r>
          </w:p>
        </w:tc>
        <w:tc>
          <w:tcPr>
            <w:tcW w:w="1695" w:type="dxa"/>
            <w:vAlign w:val="center"/>
          </w:tcPr>
          <w:p w14:paraId="2940FEE5" w14:textId="77777777" w:rsidR="00E26BFA" w:rsidRPr="003E5DFB" w:rsidRDefault="00E26BFA" w:rsidP="00203BF0">
            <w:pPr>
              <w:autoSpaceDE w:val="0"/>
              <w:autoSpaceDN w:val="0"/>
              <w:adjustRightInd w:val="0"/>
              <w:contextualSpacing/>
              <w:jc w:val="center"/>
              <w:rPr>
                <w:rFonts w:asciiTheme="minorHAnsi" w:hAnsiTheme="minorHAnsi" w:cstheme="minorHAnsi"/>
              </w:rPr>
            </w:pPr>
            <w:r w:rsidRPr="003E5DFB">
              <w:rPr>
                <w:rFonts w:asciiTheme="minorHAnsi" w:hAnsiTheme="minorHAnsi" w:cstheme="minorHAnsi"/>
              </w:rPr>
              <w:t>Positive</w:t>
            </w:r>
          </w:p>
        </w:tc>
      </w:tr>
    </w:tbl>
    <w:p w14:paraId="5B0F295F" w14:textId="77777777" w:rsidR="00E26BFA" w:rsidRDefault="00E26BFA" w:rsidP="00E66821">
      <w:pPr>
        <w:spacing w:after="0"/>
      </w:pPr>
    </w:p>
    <w:p w14:paraId="1E85F94B" w14:textId="342471DA" w:rsidR="008148D9" w:rsidRPr="00FD6451" w:rsidRDefault="00CD27D2" w:rsidP="00FD6451">
      <w:pPr>
        <w:spacing w:after="160" w:line="259" w:lineRule="auto"/>
        <w:rPr>
          <w:rFonts w:ascii="Calibri" w:hAnsi="Calibri" w:cs="Calibri"/>
          <w:color w:val="000000"/>
        </w:rPr>
      </w:pPr>
      <w:r>
        <w:t xml:space="preserve">An updated status based on the mean value over the most recent five years (2019-2023) is provided for each time series, for comparison to the </w:t>
      </w:r>
      <w:r w:rsidR="00E26BFA">
        <w:t>five</w:t>
      </w:r>
      <w:r w:rsidR="002B7AF4">
        <w:t>-</w:t>
      </w:r>
      <w:r w:rsidR="00E26BFA">
        <w:t>year means provided during the stock assessment (2014-2018). This treatment of data is consistent with</w:t>
      </w:r>
      <w:r w:rsidR="00D74125">
        <w:t xml:space="preserve"> </w:t>
      </w:r>
      <w:r w:rsidR="009E3C44">
        <w:t xml:space="preserve">model-free </w:t>
      </w:r>
      <w:r w:rsidR="00E26BFA">
        <w:t xml:space="preserve">indicators provided during stock assessments (see Section 5 in the </w:t>
      </w:r>
      <w:r w:rsidR="00131134">
        <w:t xml:space="preserve">2020 </w:t>
      </w:r>
      <w:r w:rsidR="00E26BFA">
        <w:t>stock assessment report for more detail)</w:t>
      </w:r>
      <w:r w:rsidR="008148D9">
        <w:t xml:space="preserve">. </w:t>
      </w:r>
      <w:r w:rsidR="007928CA">
        <w:t>VTS</w:t>
      </w:r>
      <w:r w:rsidR="008148D9">
        <w:t xml:space="preserve"> abundance indices </w:t>
      </w:r>
      <w:r w:rsidR="007B4732">
        <w:t>have been</w:t>
      </w:r>
      <w:r w:rsidR="008148D9">
        <w:t xml:space="preserve"> added </w:t>
      </w:r>
      <w:r w:rsidR="00766F85">
        <w:t>to</w:t>
      </w:r>
      <w:r w:rsidR="00DA1901">
        <w:t xml:space="preserve"> the</w:t>
      </w:r>
      <w:r w:rsidR="00766F85">
        <w:t xml:space="preserve"> indicators </w:t>
      </w:r>
      <w:r w:rsidR="00306413">
        <w:t>used</w:t>
      </w:r>
      <w:r w:rsidR="00766F85">
        <w:t xml:space="preserve"> in the stock assessment for this Data Update process</w:t>
      </w:r>
      <w:r w:rsidR="002B7AF4">
        <w:t>. Note that</w:t>
      </w:r>
      <w:r w:rsidR="00766F85">
        <w:t xml:space="preserve"> updated five</w:t>
      </w:r>
      <w:r w:rsidR="002B7AF4">
        <w:t>-</w:t>
      </w:r>
      <w:r w:rsidR="00766F85">
        <w:t>year means (201</w:t>
      </w:r>
      <w:r w:rsidR="0006441A">
        <w:t>9</w:t>
      </w:r>
      <w:r w:rsidR="00766F85">
        <w:t>-202</w:t>
      </w:r>
      <w:r w:rsidR="0006441A">
        <w:t>3</w:t>
      </w:r>
      <w:r w:rsidR="00766F85">
        <w:t xml:space="preserve">) for </w:t>
      </w:r>
      <w:r w:rsidR="002B7AF4">
        <w:t>several trawl survey-based</w:t>
      </w:r>
      <w:r w:rsidR="00766F85">
        <w:t xml:space="preserve"> indicators remain impacted by </w:t>
      </w:r>
      <w:r w:rsidR="007928CA">
        <w:t>COVID</w:t>
      </w:r>
      <w:r w:rsidR="00766F85">
        <w:t xml:space="preserve">-19 </w:t>
      </w:r>
      <w:r>
        <w:t>survey</w:t>
      </w:r>
      <w:r w:rsidR="00766F85">
        <w:t xml:space="preserve"> disruptions</w:t>
      </w:r>
      <w:r w:rsidR="00B36EA9">
        <w:t xml:space="preserve"> and </w:t>
      </w:r>
      <w:r>
        <w:t xml:space="preserve">a </w:t>
      </w:r>
      <w:r w:rsidR="00B36EA9">
        <w:t xml:space="preserve">new </w:t>
      </w:r>
      <w:r>
        <w:t>(</w:t>
      </w:r>
      <w:r w:rsidR="00B36EA9">
        <w:t>unrelated</w:t>
      </w:r>
      <w:r>
        <w:t xml:space="preserve"> to </w:t>
      </w:r>
      <w:r w:rsidR="007928CA">
        <w:t>COVID</w:t>
      </w:r>
      <w:r>
        <w:t>-19)</w:t>
      </w:r>
      <w:r w:rsidR="00B36EA9">
        <w:t xml:space="preserve"> </w:t>
      </w:r>
      <w:r>
        <w:t>survey</w:t>
      </w:r>
      <w:r w:rsidR="00B36EA9">
        <w:t xml:space="preserve"> disruption to the NEFSC trawl survey in </w:t>
      </w:r>
      <w:r w:rsidR="00E57D17">
        <w:t xml:space="preserve">Spring </w:t>
      </w:r>
      <w:r w:rsidR="00B36EA9">
        <w:t>2023</w:t>
      </w:r>
      <w:r w:rsidR="00766F85">
        <w:t>.</w:t>
      </w:r>
      <w:r w:rsidR="00383D0F">
        <w:t xml:space="preserve"> Additionally,</w:t>
      </w:r>
      <w:r w:rsidR="007928CA">
        <w:t xml:space="preserve"> the</w:t>
      </w:r>
      <w:r w:rsidR="00383D0F">
        <w:t xml:space="preserve"> </w:t>
      </w:r>
      <w:r w:rsidR="004D3EB2">
        <w:t xml:space="preserve">NEFSC Fall time series </w:t>
      </w:r>
      <w:r w:rsidR="007928CA">
        <w:t xml:space="preserve">has </w:t>
      </w:r>
      <w:r w:rsidR="004D3EB2">
        <w:t>not been updated with 2023 data</w:t>
      </w:r>
      <w:r w:rsidR="00EA0E59">
        <w:t>.</w:t>
      </w:r>
      <w:r w:rsidR="00063B23">
        <w:t xml:space="preserve"> </w:t>
      </w:r>
      <w:r w:rsidR="00EA0E59">
        <w:t>T</w:t>
      </w:r>
      <w:r w:rsidR="00063B23">
        <w:t xml:space="preserve">he TC </w:t>
      </w:r>
      <w:r w:rsidR="00EA0E59">
        <w:t>and SAS are</w:t>
      </w:r>
      <w:r w:rsidR="00063B23">
        <w:t xml:space="preserve"> </w:t>
      </w:r>
      <w:r w:rsidR="00EA0E59">
        <w:t>reviewing potential</w:t>
      </w:r>
      <w:r w:rsidR="00DE6A23">
        <w:t xml:space="preserve"> changes to</w:t>
      </w:r>
      <w:r w:rsidR="004D3EB2">
        <w:t xml:space="preserve"> </w:t>
      </w:r>
      <w:r w:rsidR="00875BCE">
        <w:rPr>
          <w:rFonts w:ascii="Calibri" w:hAnsi="Calibri" w:cs="Calibri"/>
          <w:color w:val="000000"/>
        </w:rPr>
        <w:t xml:space="preserve">handling of </w:t>
      </w:r>
      <w:r w:rsidR="004D3EB2">
        <w:rPr>
          <w:rFonts w:ascii="Calibri" w:hAnsi="Calibri" w:cs="Calibri"/>
          <w:color w:val="000000"/>
        </w:rPr>
        <w:t xml:space="preserve">the </w:t>
      </w:r>
      <w:r w:rsidR="00FD6451">
        <w:rPr>
          <w:rFonts w:ascii="Calibri" w:hAnsi="Calibri" w:cs="Calibri"/>
          <w:color w:val="000000"/>
        </w:rPr>
        <w:t xml:space="preserve">NEFSC </w:t>
      </w:r>
      <w:r w:rsidR="004D3EB2">
        <w:rPr>
          <w:rFonts w:ascii="Calibri" w:hAnsi="Calibri" w:cs="Calibri"/>
          <w:color w:val="000000"/>
        </w:rPr>
        <w:t>survey data</w:t>
      </w:r>
      <w:r w:rsidR="00EA0E59">
        <w:rPr>
          <w:rFonts w:ascii="Calibri" w:hAnsi="Calibri" w:cs="Calibri"/>
          <w:color w:val="000000"/>
        </w:rPr>
        <w:t xml:space="preserve"> as part of</w:t>
      </w:r>
      <w:r w:rsidR="004D3EB2">
        <w:rPr>
          <w:rFonts w:ascii="Calibri" w:hAnsi="Calibri" w:cs="Calibri"/>
          <w:color w:val="000000"/>
        </w:rPr>
        <w:t xml:space="preserve"> the ongoing benchmark assessment</w:t>
      </w:r>
      <w:r w:rsidR="00EA0E59">
        <w:rPr>
          <w:rFonts w:ascii="Calibri" w:hAnsi="Calibri" w:cs="Calibri"/>
          <w:color w:val="000000"/>
        </w:rPr>
        <w:t xml:space="preserve">, </w:t>
      </w:r>
      <w:r w:rsidR="00875BCE">
        <w:rPr>
          <w:rFonts w:ascii="Calibri" w:hAnsi="Calibri" w:cs="Calibri"/>
          <w:color w:val="000000"/>
        </w:rPr>
        <w:t>including</w:t>
      </w:r>
      <w:r w:rsidR="004D3EB2">
        <w:rPr>
          <w:rFonts w:ascii="Calibri" w:hAnsi="Calibri" w:cs="Calibri"/>
          <w:color w:val="000000"/>
        </w:rPr>
        <w:t xml:space="preserve"> how the Albatross / Bigelow vessel calibration is handled, implementation of gap-filling procedures for missed strata, and removal of one stratum from the </w:t>
      </w:r>
      <w:r w:rsidR="004D3EB2">
        <w:rPr>
          <w:rFonts w:ascii="Calibri" w:hAnsi="Calibri" w:cs="Calibri"/>
          <w:color w:val="000000"/>
        </w:rPr>
        <w:lastRenderedPageBreak/>
        <w:t>Georges Bank survey index because it is no longer sampled. Thus, these changes need to be evaluated through peer review of the assessment before further updates of indicators are provided. In the interest of time</w:t>
      </w:r>
      <w:r w:rsidR="00FD6451">
        <w:rPr>
          <w:rFonts w:ascii="Calibri" w:hAnsi="Calibri" w:cs="Calibri"/>
          <w:color w:val="000000"/>
        </w:rPr>
        <w:t xml:space="preserve"> and anticipated impacts from the changes described</w:t>
      </w:r>
      <w:r w:rsidR="004D3EB2">
        <w:rPr>
          <w:rFonts w:ascii="Calibri" w:hAnsi="Calibri" w:cs="Calibri"/>
          <w:color w:val="000000"/>
        </w:rPr>
        <w:t xml:space="preserve">, the </w:t>
      </w:r>
      <w:r w:rsidR="000100A6">
        <w:rPr>
          <w:rFonts w:ascii="Calibri" w:hAnsi="Calibri" w:cs="Calibri"/>
          <w:color w:val="000000"/>
        </w:rPr>
        <w:t>TC</w:t>
      </w:r>
      <w:r w:rsidR="004D3EB2">
        <w:rPr>
          <w:rFonts w:ascii="Calibri" w:hAnsi="Calibri" w:cs="Calibri"/>
          <w:color w:val="000000"/>
        </w:rPr>
        <w:t xml:space="preserve"> decided not to calculate Fall 2023 indices using the old calibrations and data methods.</w:t>
      </w:r>
      <w:r w:rsidR="00FD6451">
        <w:t xml:space="preserve"> </w:t>
      </w:r>
      <w:r w:rsidR="007928CA">
        <w:t>Indices affected by this issue will be identified with an asterisk</w:t>
      </w:r>
      <w:r w:rsidR="007D4D88">
        <w:t xml:space="preserve"> (*)</w:t>
      </w:r>
      <w:r w:rsidR="007928CA">
        <w:t xml:space="preserve">. </w:t>
      </w:r>
      <w:r w:rsidR="00383D0F">
        <w:t xml:space="preserve">Please see the appendix for details on </w:t>
      </w:r>
      <w:r w:rsidR="004D3EB2">
        <w:t>other</w:t>
      </w:r>
      <w:r w:rsidR="00383D0F">
        <w:t xml:space="preserve"> data changes. </w:t>
      </w:r>
      <w:r w:rsidR="00766F85">
        <w:t>Below are the results of the data updates by sub-stock.</w:t>
      </w:r>
    </w:p>
    <w:p w14:paraId="3D3F0256" w14:textId="72C89B77" w:rsidR="00E26BFA" w:rsidRDefault="00E26BFA" w:rsidP="007928CA">
      <w:pPr>
        <w:spacing w:before="240"/>
        <w:rPr>
          <w:b/>
          <w:i/>
        </w:rPr>
      </w:pPr>
      <w:r w:rsidRPr="00E26BFA">
        <w:rPr>
          <w:b/>
          <w:i/>
        </w:rPr>
        <w:t>Gulf of Maine (GOM)</w:t>
      </w:r>
    </w:p>
    <w:p w14:paraId="7DB3D5E0" w14:textId="1910A9D5" w:rsidR="00335628" w:rsidRPr="00335628" w:rsidRDefault="00335628" w:rsidP="00E26BFA">
      <w:pPr>
        <w:rPr>
          <w:bCs/>
          <w:iCs/>
        </w:rPr>
      </w:pPr>
      <w:bookmarkStart w:id="0" w:name="_Hlk116985076"/>
      <w:r>
        <w:rPr>
          <w:bCs/>
          <w:iCs/>
        </w:rPr>
        <w:t xml:space="preserve">Overall, </w:t>
      </w:r>
      <w:r w:rsidRPr="00335628">
        <w:rPr>
          <w:bCs/>
          <w:iCs/>
        </w:rPr>
        <w:t xml:space="preserve">Gulf of Maine indicators </w:t>
      </w:r>
      <w:r w:rsidR="00BB2641">
        <w:rPr>
          <w:bCs/>
          <w:iCs/>
        </w:rPr>
        <w:t xml:space="preserve">for recruits and adults continue to </w:t>
      </w:r>
      <w:r>
        <w:rPr>
          <w:bCs/>
          <w:iCs/>
        </w:rPr>
        <w:t>show</w:t>
      </w:r>
      <w:r w:rsidR="00BB2641">
        <w:rPr>
          <w:bCs/>
          <w:iCs/>
        </w:rPr>
        <w:t xml:space="preserve"> </w:t>
      </w:r>
      <w:r>
        <w:rPr>
          <w:bCs/>
          <w:iCs/>
        </w:rPr>
        <w:t xml:space="preserve">declines from time series highs </w:t>
      </w:r>
      <w:r w:rsidR="004E031A">
        <w:rPr>
          <w:bCs/>
          <w:iCs/>
        </w:rPr>
        <w:t>observed during</w:t>
      </w:r>
      <w:r>
        <w:rPr>
          <w:bCs/>
          <w:iCs/>
        </w:rPr>
        <w:t xml:space="preserve"> the stock assessment</w:t>
      </w:r>
      <w:r w:rsidR="000D6008">
        <w:rPr>
          <w:bCs/>
          <w:iCs/>
        </w:rPr>
        <w:t>, while YOY indicators show some improvement</w:t>
      </w:r>
      <w:r>
        <w:rPr>
          <w:bCs/>
          <w:iCs/>
        </w:rPr>
        <w:t xml:space="preserve">. </w:t>
      </w:r>
    </w:p>
    <w:bookmarkEnd w:id="0"/>
    <w:p w14:paraId="354962A0" w14:textId="5EA25511" w:rsidR="00E26BFA" w:rsidRDefault="00D74125" w:rsidP="00E26BFA">
      <w:pPr>
        <w:pStyle w:val="ListParagraph"/>
        <w:numPr>
          <w:ilvl w:val="0"/>
          <w:numId w:val="8"/>
        </w:numPr>
        <w:spacing w:after="160" w:line="259" w:lineRule="auto"/>
      </w:pPr>
      <w:r>
        <w:t>YOY conditions showed improvements since the stock assessment</w:t>
      </w:r>
      <w:r w:rsidR="00394568">
        <w:t xml:space="preserve"> </w:t>
      </w:r>
      <w:r w:rsidR="00E26BFA">
        <w:t>(Table 1 and Figure 1).</w:t>
      </w:r>
    </w:p>
    <w:p w14:paraId="693C8C9A" w14:textId="08DE7723" w:rsidR="000D7B10" w:rsidRDefault="000D7B10" w:rsidP="000D7B10">
      <w:pPr>
        <w:pStyle w:val="ListParagraph"/>
        <w:numPr>
          <w:ilvl w:val="1"/>
          <w:numId w:val="8"/>
        </w:numPr>
        <w:spacing w:after="160" w:line="259" w:lineRule="auto"/>
      </w:pPr>
      <w:r>
        <w:t xml:space="preserve">Updated </w:t>
      </w:r>
      <w:r w:rsidR="00CD27D2">
        <w:t xml:space="preserve">status for </w:t>
      </w:r>
      <w:r>
        <w:t>five</w:t>
      </w:r>
      <w:r w:rsidR="002B7AF4">
        <w:t>-</w:t>
      </w:r>
      <w:r>
        <w:t xml:space="preserve">year means </w:t>
      </w:r>
      <w:r w:rsidR="00234661">
        <w:t>were all</w:t>
      </w:r>
      <w:r>
        <w:t xml:space="preserve"> neutral, indicating improvement since the stock assessment when two </w:t>
      </w:r>
      <w:r w:rsidR="002B7AF4">
        <w:t xml:space="preserve">of </w:t>
      </w:r>
      <w:r w:rsidR="00894C3A">
        <w:t>five</w:t>
      </w:r>
      <w:r w:rsidR="008B2478">
        <w:t xml:space="preserve"> </w:t>
      </w:r>
      <w:r>
        <w:t>means were negative</w:t>
      </w:r>
      <w:r w:rsidR="008B2478">
        <w:t xml:space="preserve"> (both southwest areas)</w:t>
      </w:r>
      <w:r>
        <w:t>.</w:t>
      </w:r>
    </w:p>
    <w:p w14:paraId="1201A137" w14:textId="605CF654" w:rsidR="00E26BFA" w:rsidRDefault="00394568" w:rsidP="00E26BFA">
      <w:pPr>
        <w:pStyle w:val="ListParagraph"/>
        <w:numPr>
          <w:ilvl w:val="1"/>
          <w:numId w:val="8"/>
        </w:numPr>
        <w:spacing w:after="160" w:line="259" w:lineRule="auto"/>
      </w:pPr>
      <w:r>
        <w:t xml:space="preserve">All ME indices have shown consistent increasing trends </w:t>
      </w:r>
      <w:r w:rsidR="00882072">
        <w:t>since a recent low in 2021</w:t>
      </w:r>
      <w:r>
        <w:t xml:space="preserve">. </w:t>
      </w:r>
      <w:r w:rsidR="00FD7DAE">
        <w:t>202</w:t>
      </w:r>
      <w:r>
        <w:t>3</w:t>
      </w:r>
      <w:r w:rsidR="00FD7DAE">
        <w:t xml:space="preserve"> values </w:t>
      </w:r>
      <w:r>
        <w:t xml:space="preserve">for two indices </w:t>
      </w:r>
      <w:r w:rsidR="00CD27D2">
        <w:t xml:space="preserve">improved </w:t>
      </w:r>
      <w:r>
        <w:t xml:space="preserve">from </w:t>
      </w:r>
      <w:r w:rsidR="0005290B">
        <w:t xml:space="preserve">negative or </w:t>
      </w:r>
      <w:r>
        <w:t xml:space="preserve">neutral to positive </w:t>
      </w:r>
      <w:r w:rsidR="006572EA">
        <w:t xml:space="preserve">status </w:t>
      </w:r>
      <w:r>
        <w:t>while the other three indices remained neutral.</w:t>
      </w:r>
    </w:p>
    <w:p w14:paraId="2ED2B626" w14:textId="16A9522C" w:rsidR="000D6008" w:rsidRDefault="000D6008" w:rsidP="00E26BFA">
      <w:pPr>
        <w:pStyle w:val="ListParagraph"/>
        <w:numPr>
          <w:ilvl w:val="1"/>
          <w:numId w:val="8"/>
        </w:numPr>
        <w:spacing w:after="160" w:line="259" w:lineRule="auto"/>
      </w:pPr>
      <w:r>
        <w:t xml:space="preserve">It’s important to note that </w:t>
      </w:r>
      <w:r w:rsidR="00CD27D2">
        <w:t xml:space="preserve">changes in </w:t>
      </w:r>
      <w:r>
        <w:t xml:space="preserve">YOY indicators are not expected to </w:t>
      </w:r>
      <w:r w:rsidR="00CD27D2">
        <w:t xml:space="preserve">be detected in </w:t>
      </w:r>
      <w:r w:rsidR="00875A58">
        <w:t xml:space="preserve">the </w:t>
      </w:r>
      <w:r w:rsidR="00CD27D2">
        <w:t xml:space="preserve">recruit indicators </w:t>
      </w:r>
      <w:r>
        <w:t xml:space="preserve">for several years. </w:t>
      </w:r>
    </w:p>
    <w:p w14:paraId="63926FA7" w14:textId="51C549CD" w:rsidR="00E26BFA" w:rsidRDefault="0004767E" w:rsidP="00E26BFA">
      <w:pPr>
        <w:pStyle w:val="ListParagraph"/>
        <w:numPr>
          <w:ilvl w:val="0"/>
          <w:numId w:val="8"/>
        </w:numPr>
        <w:spacing w:after="160" w:line="259" w:lineRule="auto"/>
      </w:pPr>
      <w:r>
        <w:t>Trawl survey r</w:t>
      </w:r>
      <w:r w:rsidR="00E26BFA">
        <w:t xml:space="preserve">ecruit abundance </w:t>
      </w:r>
      <w:r w:rsidR="00E26BFA" w:rsidRPr="00ED00C4">
        <w:t xml:space="preserve">indicators </w:t>
      </w:r>
      <w:r w:rsidR="004C193E">
        <w:t>showed sign</w:t>
      </w:r>
      <w:r w:rsidR="00F75CE7">
        <w:t>s</w:t>
      </w:r>
      <w:r w:rsidR="004C193E">
        <w:t xml:space="preserve"> of decline since </w:t>
      </w:r>
      <w:r w:rsidR="00E26BFA" w:rsidRPr="00ED00C4">
        <w:t>the stock assessment (Table 2 and Figure 2).</w:t>
      </w:r>
    </w:p>
    <w:p w14:paraId="360B45FD" w14:textId="151F624D" w:rsidR="00E26BFA" w:rsidRDefault="0005290B" w:rsidP="00E26BFA">
      <w:pPr>
        <w:pStyle w:val="ListParagraph"/>
        <w:numPr>
          <w:ilvl w:val="1"/>
          <w:numId w:val="8"/>
        </w:numPr>
        <w:spacing w:after="160" w:line="259" w:lineRule="auto"/>
      </w:pPr>
      <w:r>
        <w:t>Three</w:t>
      </w:r>
      <w:r w:rsidR="004C193E" w:rsidRPr="00CB2D35">
        <w:t xml:space="preserve"> </w:t>
      </w:r>
      <w:r w:rsidR="0063232C">
        <w:t xml:space="preserve">of the </w:t>
      </w:r>
      <w:r w:rsidR="004C193E" w:rsidRPr="00CB2D35">
        <w:t>u</w:t>
      </w:r>
      <w:r w:rsidR="00E26BFA" w:rsidRPr="00CB2D35">
        <w:t>pdated five</w:t>
      </w:r>
      <w:r w:rsidR="002B7AF4">
        <w:t>-</w:t>
      </w:r>
      <w:r w:rsidR="00E26BFA" w:rsidRPr="00CB2D35">
        <w:t xml:space="preserve">year means </w:t>
      </w:r>
      <w:r w:rsidR="004C193E" w:rsidRPr="00CB2D35">
        <w:t xml:space="preserve">changed </w:t>
      </w:r>
      <w:r w:rsidR="00244570">
        <w:t xml:space="preserve">status </w:t>
      </w:r>
      <w:r w:rsidR="004C193E" w:rsidRPr="00CB2D35">
        <w:t>from positive to neutral</w:t>
      </w:r>
      <w:r w:rsidR="000E7BC3">
        <w:t xml:space="preserve"> since the stock assessment</w:t>
      </w:r>
      <w:r w:rsidR="00E26BFA" w:rsidRPr="00CB2D35">
        <w:t>.</w:t>
      </w:r>
      <w:r w:rsidR="004C193E" w:rsidRPr="00CB2D35">
        <w:t xml:space="preserve"> </w:t>
      </w:r>
      <w:r w:rsidR="009C68B1">
        <w:t xml:space="preserve">The other three remained positive, though </w:t>
      </w:r>
      <w:r w:rsidR="00BB2641">
        <w:t xml:space="preserve">two (NEFSC) </w:t>
      </w:r>
      <w:r w:rsidR="009C68B1">
        <w:t>did not include additional data since 2022</w:t>
      </w:r>
      <w:r w:rsidR="00707A02">
        <w:t>*</w:t>
      </w:r>
      <w:r w:rsidR="009C68B1">
        <w:t xml:space="preserve"> when they were also positive</w:t>
      </w:r>
      <w:r w:rsidR="004C193E">
        <w:t>.</w:t>
      </w:r>
      <w:r w:rsidR="00924D6F">
        <w:t xml:space="preserve"> </w:t>
      </w:r>
      <w:r>
        <w:t>All three</w:t>
      </w:r>
      <w:r w:rsidR="00924D6F">
        <w:t xml:space="preserve"> indicators that </w:t>
      </w:r>
      <w:r w:rsidR="00244570">
        <w:t xml:space="preserve">have </w:t>
      </w:r>
      <w:r w:rsidR="00924D6F">
        <w:t xml:space="preserve">declined to neutral </w:t>
      </w:r>
      <w:r w:rsidR="00244570">
        <w:t xml:space="preserve">status since the assessment </w:t>
      </w:r>
      <w:r w:rsidR="00924D6F">
        <w:t>are for inshore GOM waters.</w:t>
      </w:r>
    </w:p>
    <w:p w14:paraId="323C4324" w14:textId="41E4E8C9" w:rsidR="004C193E" w:rsidRPr="00ED00C4" w:rsidRDefault="008C7D72" w:rsidP="00E26BFA">
      <w:pPr>
        <w:pStyle w:val="ListParagraph"/>
        <w:numPr>
          <w:ilvl w:val="1"/>
          <w:numId w:val="8"/>
        </w:numPr>
        <w:spacing w:after="160" w:line="259" w:lineRule="auto"/>
      </w:pPr>
      <w:r w:rsidRPr="008C7D72">
        <w:t>202</w:t>
      </w:r>
      <w:r w:rsidR="0005290B">
        <w:t>3</w:t>
      </w:r>
      <w:r w:rsidRPr="008C7D72">
        <w:t xml:space="preserve"> values</w:t>
      </w:r>
      <w:r w:rsidR="00F75CE7">
        <w:t xml:space="preserve"> </w:t>
      </w:r>
      <w:r w:rsidR="0005290B">
        <w:t>for all inshore GOM surveys were neutral</w:t>
      </w:r>
      <w:r w:rsidR="00244570">
        <w:t xml:space="preserve"> status</w:t>
      </w:r>
      <w:r w:rsidR="0005290B">
        <w:t xml:space="preserve">, </w:t>
      </w:r>
      <w:r w:rsidR="00244570">
        <w:t>a decline for</w:t>
      </w:r>
      <w:r w:rsidR="0005290B">
        <w:t xml:space="preserve"> one additional indicator from positive to neutral since 2022</w:t>
      </w:r>
      <w:r>
        <w:t>.</w:t>
      </w:r>
    </w:p>
    <w:p w14:paraId="6988CF21" w14:textId="6962D180" w:rsidR="00E26BFA" w:rsidRDefault="004C193E" w:rsidP="004C193E">
      <w:pPr>
        <w:pStyle w:val="ListParagraph"/>
        <w:numPr>
          <w:ilvl w:val="1"/>
          <w:numId w:val="8"/>
        </w:numPr>
        <w:spacing w:after="160" w:line="259" w:lineRule="auto"/>
      </w:pPr>
      <w:r w:rsidRPr="00ED00C4">
        <w:t>Five of six indicator</w:t>
      </w:r>
      <w:r w:rsidR="00244570">
        <w:t xml:space="preserve"> values</w:t>
      </w:r>
      <w:r w:rsidRPr="00ED00C4">
        <w:t xml:space="preserve"> were not available for 2020 due to </w:t>
      </w:r>
      <w:r w:rsidR="00E56DA5">
        <w:t>COVID</w:t>
      </w:r>
      <w:r w:rsidRPr="00ED00C4">
        <w:t>-19 sampling restrictions.</w:t>
      </w:r>
    </w:p>
    <w:p w14:paraId="63F451D2" w14:textId="1A1FFAF5" w:rsidR="00E26BFA" w:rsidRDefault="00E26BFA" w:rsidP="00E26BFA">
      <w:pPr>
        <w:pStyle w:val="ListParagraph"/>
        <w:numPr>
          <w:ilvl w:val="0"/>
          <w:numId w:val="8"/>
        </w:numPr>
        <w:spacing w:after="160" w:line="259" w:lineRule="auto"/>
      </w:pPr>
      <w:r>
        <w:t xml:space="preserve">Trawl survey encounter rates show </w:t>
      </w:r>
      <w:r w:rsidR="00244570">
        <w:t>declines</w:t>
      </w:r>
      <w:r w:rsidR="008C7D72">
        <w:t xml:space="preserve"> </w:t>
      </w:r>
      <w:r w:rsidR="00CB2D35">
        <w:t xml:space="preserve">inshore </w:t>
      </w:r>
      <w:r w:rsidR="008C7D72">
        <w:t>since the stock assessment</w:t>
      </w:r>
      <w:r>
        <w:t xml:space="preserve"> (Table 3 and Figure 3).</w:t>
      </w:r>
    </w:p>
    <w:p w14:paraId="5D8426C6" w14:textId="09A6494C" w:rsidR="00E26BFA" w:rsidRDefault="00CB2D35" w:rsidP="00E26BFA">
      <w:pPr>
        <w:pStyle w:val="ListParagraph"/>
        <w:numPr>
          <w:ilvl w:val="1"/>
          <w:numId w:val="8"/>
        </w:numPr>
        <w:spacing w:after="160" w:line="259" w:lineRule="auto"/>
      </w:pPr>
      <w:r>
        <w:t>All f</w:t>
      </w:r>
      <w:r w:rsidR="008C7D72" w:rsidRPr="00CB2D35">
        <w:t>our</w:t>
      </w:r>
      <w:r w:rsidR="00C67C19">
        <w:t xml:space="preserve"> of the</w:t>
      </w:r>
      <w:r w:rsidRPr="00CB2D35">
        <w:t xml:space="preserve"> </w:t>
      </w:r>
      <w:r w:rsidR="00E26BFA" w:rsidRPr="00CB2D35">
        <w:t>updated</w:t>
      </w:r>
      <w:r w:rsidR="00E26BFA">
        <w:t xml:space="preserve"> five</w:t>
      </w:r>
      <w:r w:rsidR="002B7AF4">
        <w:t>-</w:t>
      </w:r>
      <w:r w:rsidR="00E26BFA">
        <w:t xml:space="preserve">year means </w:t>
      </w:r>
      <w:r>
        <w:t xml:space="preserve">for inshore </w:t>
      </w:r>
      <w:r w:rsidR="008B2478">
        <w:t>indicators</w:t>
      </w:r>
      <w:r>
        <w:t xml:space="preserve"> </w:t>
      </w:r>
      <w:r w:rsidR="00E26BFA">
        <w:t xml:space="preserve">were neutral, whereas only one was neutral during the stock </w:t>
      </w:r>
      <w:r w:rsidR="00E26BFA" w:rsidRPr="00ED00C4">
        <w:t>assess</w:t>
      </w:r>
      <w:r w:rsidR="00E26BFA">
        <w:t xml:space="preserve">ment. </w:t>
      </w:r>
      <w:r w:rsidR="00BB2641">
        <w:t>F</w:t>
      </w:r>
      <w:r>
        <w:t>ive</w:t>
      </w:r>
      <w:r w:rsidR="002B7AF4">
        <w:t>-</w:t>
      </w:r>
      <w:r>
        <w:t xml:space="preserve">year means for the two offshore </w:t>
      </w:r>
      <w:r w:rsidR="008B2478">
        <w:t>indicators</w:t>
      </w:r>
      <w:r w:rsidR="003976CA">
        <w:t xml:space="preserve"> </w:t>
      </w:r>
      <w:r w:rsidR="009C68B1">
        <w:t>remain positive, though they do not include additional data since 2022</w:t>
      </w:r>
      <w:r w:rsidR="00707A02">
        <w:t>*</w:t>
      </w:r>
      <w:r w:rsidR="009C68B1">
        <w:t xml:space="preserve"> </w:t>
      </w:r>
      <w:r w:rsidR="00BB2641">
        <w:t xml:space="preserve">when they were </w:t>
      </w:r>
      <w:r w:rsidR="009C68B1">
        <w:t xml:space="preserve">also </w:t>
      </w:r>
      <w:r w:rsidR="00BB2641">
        <w:t>positive.</w:t>
      </w:r>
    </w:p>
    <w:p w14:paraId="1839BBD2" w14:textId="0F0C054D" w:rsidR="00244570" w:rsidRPr="00882072" w:rsidRDefault="00244570" w:rsidP="00244570">
      <w:pPr>
        <w:pStyle w:val="ListParagraph"/>
        <w:numPr>
          <w:ilvl w:val="1"/>
          <w:numId w:val="8"/>
        </w:numPr>
        <w:spacing w:after="160" w:line="259" w:lineRule="auto"/>
      </w:pPr>
      <w:r w:rsidRPr="00882072">
        <w:t xml:space="preserve">Note that the ME/NH survey encounter rates (spring and fall) are still </w:t>
      </w:r>
      <w:r w:rsidR="00882072">
        <w:t>high relative to other surveys.</w:t>
      </w:r>
    </w:p>
    <w:p w14:paraId="6838C564" w14:textId="5B3420BB" w:rsidR="008C7D72" w:rsidRPr="009A625A" w:rsidRDefault="008C7D72" w:rsidP="008C7D72">
      <w:pPr>
        <w:pStyle w:val="ListParagraph"/>
        <w:numPr>
          <w:ilvl w:val="1"/>
          <w:numId w:val="8"/>
        </w:numPr>
        <w:spacing w:after="160" w:line="259" w:lineRule="auto"/>
      </w:pPr>
      <w:r>
        <w:t>Five of six indicator</w:t>
      </w:r>
      <w:r w:rsidR="00244570">
        <w:t xml:space="preserve"> values </w:t>
      </w:r>
      <w:r>
        <w:t xml:space="preserve">were not available for 2020 due to </w:t>
      </w:r>
      <w:r w:rsidR="00E56DA5">
        <w:t>COVID</w:t>
      </w:r>
      <w:r>
        <w:t>-19 sampling restrictions.</w:t>
      </w:r>
    </w:p>
    <w:p w14:paraId="31D050C6" w14:textId="50C9D2AA" w:rsidR="00E26BFA" w:rsidRDefault="00E26BFA" w:rsidP="00E26BFA">
      <w:pPr>
        <w:pStyle w:val="ListParagraph"/>
        <w:numPr>
          <w:ilvl w:val="0"/>
          <w:numId w:val="8"/>
        </w:numPr>
        <w:spacing w:after="160" w:line="259" w:lineRule="auto"/>
      </w:pPr>
      <w:r>
        <w:t>Ventless trap</w:t>
      </w:r>
      <w:r w:rsidR="0004767E">
        <w:t xml:space="preserve"> survey</w:t>
      </w:r>
      <w:r>
        <w:t xml:space="preserve"> indices show abundance declining since the stock assessment (Table 4 and Figure 4). </w:t>
      </w:r>
    </w:p>
    <w:p w14:paraId="0C5CCFFD" w14:textId="3C58BFAB" w:rsidR="00B0041C" w:rsidRDefault="00244570" w:rsidP="00165D4D">
      <w:pPr>
        <w:pStyle w:val="ListParagraph"/>
        <w:numPr>
          <w:ilvl w:val="1"/>
          <w:numId w:val="8"/>
        </w:numPr>
        <w:spacing w:after="160" w:line="259" w:lineRule="auto"/>
      </w:pPr>
      <w:r>
        <w:t>Status determination</w:t>
      </w:r>
      <w:r w:rsidR="00FA333F">
        <w:t>s</w:t>
      </w:r>
      <w:r>
        <w:t xml:space="preserve"> for f</w:t>
      </w:r>
      <w:r w:rsidR="003030F4">
        <w:t>our</w:t>
      </w:r>
      <w:r w:rsidR="00165D4D">
        <w:t xml:space="preserve"> of eight updated five</w:t>
      </w:r>
      <w:r w:rsidR="002B7AF4">
        <w:t>-</w:t>
      </w:r>
      <w:r w:rsidR="00165D4D">
        <w:t xml:space="preserve">year means were </w:t>
      </w:r>
      <w:r w:rsidR="003030F4">
        <w:t>negative</w:t>
      </w:r>
      <w:r w:rsidR="00165D4D">
        <w:t xml:space="preserve"> and</w:t>
      </w:r>
      <w:r w:rsidR="003030F4">
        <w:t xml:space="preserve"> four</w:t>
      </w:r>
      <w:r w:rsidR="00172D9D">
        <w:t xml:space="preserve"> were</w:t>
      </w:r>
      <w:r w:rsidR="00165D4D">
        <w:t xml:space="preserve"> ne</w:t>
      </w:r>
      <w:r w:rsidR="003030F4">
        <w:t>utral</w:t>
      </w:r>
      <w:r w:rsidR="00165D4D">
        <w:t>, compared to four positive means and no negative means during the stock assessment.</w:t>
      </w:r>
      <w:r w:rsidRPr="00244570">
        <w:t xml:space="preserve"> </w:t>
      </w:r>
    </w:p>
    <w:p w14:paraId="1FB7836A" w14:textId="6FD2AA18" w:rsidR="00E26BFA" w:rsidRDefault="00244570" w:rsidP="00165D4D">
      <w:pPr>
        <w:pStyle w:val="ListParagraph"/>
        <w:numPr>
          <w:ilvl w:val="1"/>
          <w:numId w:val="8"/>
        </w:numPr>
        <w:spacing w:after="160" w:line="259" w:lineRule="auto"/>
      </w:pPr>
      <w:r>
        <w:lastRenderedPageBreak/>
        <w:t>The indicator for Area 513 has been more stable over recent years than the indicators for the other three area</w:t>
      </w:r>
      <w:r w:rsidR="00E56DA5">
        <w:t>s</w:t>
      </w:r>
      <w:r>
        <w:t xml:space="preserve">. </w:t>
      </w:r>
    </w:p>
    <w:p w14:paraId="5E3937EC" w14:textId="0248B97E" w:rsidR="00E26BFA" w:rsidRDefault="00882072" w:rsidP="00E26BFA">
      <w:pPr>
        <w:pStyle w:val="ListParagraph"/>
        <w:numPr>
          <w:ilvl w:val="1"/>
          <w:numId w:val="8"/>
        </w:numPr>
        <w:spacing w:after="160" w:line="259" w:lineRule="auto"/>
      </w:pPr>
      <w:r>
        <w:t xml:space="preserve">While </w:t>
      </w:r>
      <w:r w:rsidR="005E4BD1">
        <w:t xml:space="preserve">the status of </w:t>
      </w:r>
      <w:r>
        <w:t xml:space="preserve">most </w:t>
      </w:r>
      <w:r w:rsidR="00776FEA">
        <w:t xml:space="preserve">2023 </w:t>
      </w:r>
      <w:r>
        <w:t>indicators remained the same (neutral or negative), the values were similar or improved over the 2022 value</w:t>
      </w:r>
      <w:r w:rsidR="00776FEA">
        <w:t>s</w:t>
      </w:r>
      <w:r>
        <w:t xml:space="preserve"> in all areas except 511 </w:t>
      </w:r>
      <w:r w:rsidR="00776FEA">
        <w:t>(both sexes)</w:t>
      </w:r>
      <w:r>
        <w:t xml:space="preserve"> which continued to decline and changed from neutral to negative status between 2022 and 2023.</w:t>
      </w:r>
    </w:p>
    <w:p w14:paraId="671B4EC5" w14:textId="78DE31C8" w:rsidR="00E26BFA" w:rsidRDefault="00E26BFA" w:rsidP="00E26BFA">
      <w:pPr>
        <w:rPr>
          <w:b/>
          <w:i/>
        </w:rPr>
      </w:pPr>
      <w:r w:rsidRPr="00E26BFA">
        <w:rPr>
          <w:b/>
          <w:i/>
        </w:rPr>
        <w:t>Georges Bank (GBK)</w:t>
      </w:r>
    </w:p>
    <w:p w14:paraId="7F28C016" w14:textId="1C59A0D8" w:rsidR="00335628" w:rsidRPr="00335628" w:rsidRDefault="00335628" w:rsidP="00E26BFA">
      <w:pPr>
        <w:rPr>
          <w:bCs/>
          <w:iCs/>
        </w:rPr>
      </w:pPr>
      <w:bookmarkStart w:id="1" w:name="_Hlk116985101"/>
      <w:r w:rsidRPr="00335628">
        <w:rPr>
          <w:bCs/>
          <w:iCs/>
        </w:rPr>
        <w:t xml:space="preserve">Overall, Georges Bank </w:t>
      </w:r>
      <w:r>
        <w:rPr>
          <w:bCs/>
          <w:iCs/>
        </w:rPr>
        <w:t>indicat</w:t>
      </w:r>
      <w:r w:rsidR="00BB6EA2">
        <w:rPr>
          <w:bCs/>
          <w:iCs/>
        </w:rPr>
        <w:t>ors show</w:t>
      </w:r>
      <w:r>
        <w:rPr>
          <w:bCs/>
          <w:iCs/>
        </w:rPr>
        <w:t xml:space="preserve"> </w:t>
      </w:r>
      <w:r w:rsidR="00383D0F">
        <w:rPr>
          <w:bCs/>
          <w:iCs/>
        </w:rPr>
        <w:t>slight improvement since</w:t>
      </w:r>
      <w:r>
        <w:rPr>
          <w:bCs/>
          <w:iCs/>
        </w:rPr>
        <w:t xml:space="preserve"> the stock assessment</w:t>
      </w:r>
      <w:r w:rsidR="00711A63">
        <w:rPr>
          <w:bCs/>
          <w:iCs/>
        </w:rPr>
        <w:t>, though updates include no additional data since 2022</w:t>
      </w:r>
      <w:r w:rsidR="00707A02">
        <w:rPr>
          <w:bCs/>
          <w:iCs/>
        </w:rPr>
        <w:t>*</w:t>
      </w:r>
      <w:r>
        <w:rPr>
          <w:bCs/>
          <w:iCs/>
        </w:rPr>
        <w:t xml:space="preserve">. Note that there are no YOY or VTS indicators for this sub-stock area. </w:t>
      </w:r>
    </w:p>
    <w:bookmarkEnd w:id="1"/>
    <w:p w14:paraId="1DA9BA21" w14:textId="69F5D1E1" w:rsidR="00E26BFA" w:rsidRPr="00CB2D35" w:rsidRDefault="0004767E" w:rsidP="00E26BFA">
      <w:pPr>
        <w:pStyle w:val="ListParagraph"/>
        <w:numPr>
          <w:ilvl w:val="0"/>
          <w:numId w:val="8"/>
        </w:numPr>
        <w:spacing w:after="160" w:line="259" w:lineRule="auto"/>
      </w:pPr>
      <w:r w:rsidRPr="00CB2D35">
        <w:t>Trawl survey r</w:t>
      </w:r>
      <w:r w:rsidR="00E26BFA" w:rsidRPr="00CB2D35">
        <w:t xml:space="preserve">ecruit abundance indicators showed </w:t>
      </w:r>
      <w:r w:rsidR="00172D9D">
        <w:t>slight improvements</w:t>
      </w:r>
      <w:r w:rsidR="00E26BFA" w:rsidRPr="00CB2D35">
        <w:t xml:space="preserve"> (Table 5 and Figure 5).</w:t>
      </w:r>
    </w:p>
    <w:p w14:paraId="6EEDD2A4" w14:textId="62B18CF6" w:rsidR="00E26BFA" w:rsidRDefault="00172D9D" w:rsidP="00CB2D35">
      <w:pPr>
        <w:pStyle w:val="ListParagraph"/>
        <w:numPr>
          <w:ilvl w:val="1"/>
          <w:numId w:val="8"/>
        </w:numPr>
        <w:spacing w:after="160" w:line="259" w:lineRule="auto"/>
      </w:pPr>
      <w:r>
        <w:t>One updated five</w:t>
      </w:r>
      <w:r w:rsidR="00924D6F">
        <w:t>-</w:t>
      </w:r>
      <w:r>
        <w:t>year mean changed from neutral to positive</w:t>
      </w:r>
      <w:r w:rsidR="00924D6F">
        <w:t xml:space="preserve"> since the stock assessment</w:t>
      </w:r>
      <w:r>
        <w:t>, while the other remained neutral.</w:t>
      </w:r>
    </w:p>
    <w:p w14:paraId="2B6DA9DB" w14:textId="46363DE7" w:rsidR="00E5450B" w:rsidRDefault="00E5450B" w:rsidP="00CB2D35">
      <w:pPr>
        <w:pStyle w:val="ListParagraph"/>
        <w:numPr>
          <w:ilvl w:val="1"/>
          <w:numId w:val="8"/>
        </w:numPr>
        <w:spacing w:after="160" w:line="259" w:lineRule="auto"/>
      </w:pPr>
      <w:r>
        <w:t>202</w:t>
      </w:r>
      <w:r w:rsidR="00172D9D">
        <w:t>2</w:t>
      </w:r>
      <w:r>
        <w:t xml:space="preserve"> values were both positive and relatively high</w:t>
      </w:r>
      <w:r w:rsidR="008A29F0">
        <w:t>,</w:t>
      </w:r>
      <w:r>
        <w:t xml:space="preserve"> </w:t>
      </w:r>
      <w:r w:rsidR="00172D9D">
        <w:t xml:space="preserve">as </w:t>
      </w:r>
      <w:r w:rsidR="008A29F0">
        <w:t>were</w:t>
      </w:r>
      <w:r w:rsidR="00172D9D">
        <w:t xml:space="preserve"> 2021</w:t>
      </w:r>
      <w:r w:rsidR="008A29F0">
        <w:t xml:space="preserve"> values</w:t>
      </w:r>
      <w:r>
        <w:t>.</w:t>
      </w:r>
    </w:p>
    <w:p w14:paraId="181E6F4B" w14:textId="3B00CD66" w:rsidR="00E5450B" w:rsidRPr="00CB2D35" w:rsidRDefault="00E5450B" w:rsidP="00E5450B">
      <w:pPr>
        <w:pStyle w:val="ListParagraph"/>
        <w:numPr>
          <w:ilvl w:val="1"/>
          <w:numId w:val="8"/>
        </w:numPr>
        <w:spacing w:after="160" w:line="259" w:lineRule="auto"/>
      </w:pPr>
      <w:r w:rsidRPr="00CB2D35">
        <w:t xml:space="preserve">No </w:t>
      </w:r>
      <w:r w:rsidR="00244570">
        <w:t>values</w:t>
      </w:r>
      <w:r w:rsidRPr="00CB2D35">
        <w:t xml:space="preserve"> were available for 2020 due to </w:t>
      </w:r>
      <w:r w:rsidR="00E56DA5">
        <w:t>COVID</w:t>
      </w:r>
      <w:r w:rsidRPr="00CB2D35">
        <w:t>-19 sampling restrictions.</w:t>
      </w:r>
    </w:p>
    <w:p w14:paraId="34B6C368" w14:textId="781B0AF7" w:rsidR="00E26BFA" w:rsidRDefault="00E26BFA" w:rsidP="00E26BFA">
      <w:pPr>
        <w:pStyle w:val="ListParagraph"/>
        <w:numPr>
          <w:ilvl w:val="1"/>
          <w:numId w:val="8"/>
        </w:numPr>
        <w:spacing w:after="160" w:line="259" w:lineRule="auto"/>
      </w:pPr>
      <w:r w:rsidRPr="00CB2D35">
        <w:t xml:space="preserve">These indicators tend to be noisier than some of the other abundance indicators, with high interannual variability and lack of discernible trends. </w:t>
      </w:r>
    </w:p>
    <w:p w14:paraId="627340ED" w14:textId="20334D91" w:rsidR="00E26BFA" w:rsidRPr="00CB2D35" w:rsidRDefault="00E26BFA" w:rsidP="00E26BFA">
      <w:pPr>
        <w:pStyle w:val="ListParagraph"/>
        <w:numPr>
          <w:ilvl w:val="0"/>
          <w:numId w:val="8"/>
        </w:numPr>
        <w:spacing w:after="160" w:line="259" w:lineRule="auto"/>
      </w:pPr>
      <w:r w:rsidRPr="00CB2D35">
        <w:t xml:space="preserve">Trawl survey encounter rates </w:t>
      </w:r>
      <w:r w:rsidR="00E5450B">
        <w:t xml:space="preserve">showed </w:t>
      </w:r>
      <w:r w:rsidR="00172D9D">
        <w:t>similar conditions since</w:t>
      </w:r>
      <w:r w:rsidR="00E5450B">
        <w:t xml:space="preserve"> the stock assessment</w:t>
      </w:r>
      <w:r w:rsidRPr="00CB2D35">
        <w:t xml:space="preserve"> (Table 6 and Figure 6).</w:t>
      </w:r>
    </w:p>
    <w:p w14:paraId="7514C050" w14:textId="5E153FB3" w:rsidR="00E5450B" w:rsidRPr="00CB2D35" w:rsidRDefault="00E5450B" w:rsidP="00E5450B">
      <w:pPr>
        <w:pStyle w:val="ListParagraph"/>
        <w:numPr>
          <w:ilvl w:val="1"/>
          <w:numId w:val="8"/>
        </w:numPr>
        <w:spacing w:after="160" w:line="259" w:lineRule="auto"/>
      </w:pPr>
      <w:r>
        <w:t>The u</w:t>
      </w:r>
      <w:r w:rsidRPr="00CB2D35">
        <w:t>pdated</w:t>
      </w:r>
      <w:r w:rsidR="000E7BC3">
        <w:t xml:space="preserve"> means both remained positive</w:t>
      </w:r>
      <w:r>
        <w:t>.</w:t>
      </w:r>
      <w:r w:rsidRPr="00CB2D35">
        <w:t xml:space="preserve"> </w:t>
      </w:r>
    </w:p>
    <w:p w14:paraId="7A8E9D42" w14:textId="28D4857F" w:rsidR="00E26BFA" w:rsidRPr="00CB2D35" w:rsidRDefault="00E26BFA" w:rsidP="00E26BFA">
      <w:pPr>
        <w:pStyle w:val="ListParagraph"/>
        <w:numPr>
          <w:ilvl w:val="1"/>
          <w:numId w:val="8"/>
        </w:numPr>
        <w:spacing w:after="160" w:line="259" w:lineRule="auto"/>
      </w:pPr>
      <w:r w:rsidRPr="00CB2D35">
        <w:t xml:space="preserve">No </w:t>
      </w:r>
      <w:r w:rsidR="00244570">
        <w:t>values</w:t>
      </w:r>
      <w:r w:rsidRPr="00CB2D35">
        <w:t xml:space="preserve"> were available for 2020 due to </w:t>
      </w:r>
      <w:r w:rsidR="00E56DA5">
        <w:t>COVID</w:t>
      </w:r>
      <w:r w:rsidRPr="00CB2D35">
        <w:t>-19 sampling restrictions.</w:t>
      </w:r>
    </w:p>
    <w:p w14:paraId="7FFF055E" w14:textId="20465A5E" w:rsidR="00E26BFA" w:rsidRDefault="00E26BFA" w:rsidP="00E26BFA">
      <w:pPr>
        <w:rPr>
          <w:b/>
          <w:i/>
        </w:rPr>
      </w:pPr>
      <w:r w:rsidRPr="00E26BFA">
        <w:rPr>
          <w:b/>
          <w:i/>
        </w:rPr>
        <w:t>Southern New England (SNE)</w:t>
      </w:r>
    </w:p>
    <w:p w14:paraId="46058F8E" w14:textId="69BFEC7F" w:rsidR="00335628" w:rsidRPr="00335628" w:rsidRDefault="00335628" w:rsidP="00E26BFA">
      <w:pPr>
        <w:rPr>
          <w:bCs/>
          <w:iCs/>
        </w:rPr>
      </w:pPr>
      <w:bookmarkStart w:id="2" w:name="_Hlk116985112"/>
      <w:r w:rsidRPr="00335628">
        <w:rPr>
          <w:bCs/>
          <w:iCs/>
        </w:rPr>
        <w:t xml:space="preserve">Overall, </w:t>
      </w:r>
      <w:r>
        <w:rPr>
          <w:bCs/>
          <w:iCs/>
        </w:rPr>
        <w:t>Southern New England</w:t>
      </w:r>
      <w:r w:rsidRPr="00335628">
        <w:rPr>
          <w:bCs/>
          <w:iCs/>
        </w:rPr>
        <w:t xml:space="preserve"> </w:t>
      </w:r>
      <w:r>
        <w:rPr>
          <w:bCs/>
          <w:iCs/>
        </w:rPr>
        <w:t>indicat</w:t>
      </w:r>
      <w:r w:rsidR="00BB6EA2">
        <w:rPr>
          <w:bCs/>
          <w:iCs/>
        </w:rPr>
        <w:t>ors show</w:t>
      </w:r>
      <w:r>
        <w:rPr>
          <w:bCs/>
          <w:iCs/>
        </w:rPr>
        <w:t xml:space="preserve"> continued unfavorable conditions with some further signs of decline since the stock assessment. </w:t>
      </w:r>
      <w:r w:rsidR="0005541E">
        <w:rPr>
          <w:bCs/>
          <w:iCs/>
        </w:rPr>
        <w:t xml:space="preserve">Most </w:t>
      </w:r>
      <w:r w:rsidR="00711A63">
        <w:rPr>
          <w:bCs/>
          <w:iCs/>
        </w:rPr>
        <w:t xml:space="preserve">updated </w:t>
      </w:r>
      <w:r w:rsidR="0005541E">
        <w:rPr>
          <w:bCs/>
          <w:iCs/>
        </w:rPr>
        <w:t xml:space="preserve">indicators are at or near time series lows. </w:t>
      </w:r>
    </w:p>
    <w:bookmarkEnd w:id="2"/>
    <w:p w14:paraId="757DDF55" w14:textId="1574986D" w:rsidR="00E26BFA" w:rsidRDefault="00E26BFA" w:rsidP="00E26BFA">
      <w:pPr>
        <w:pStyle w:val="ListParagraph"/>
        <w:numPr>
          <w:ilvl w:val="0"/>
          <w:numId w:val="8"/>
        </w:numPr>
        <w:spacing w:after="160" w:line="259" w:lineRule="auto"/>
      </w:pPr>
      <w:r>
        <w:t xml:space="preserve">YOY conditions </w:t>
      </w:r>
      <w:r w:rsidR="00D55D58">
        <w:t xml:space="preserve">were negative across the stock with some decline since </w:t>
      </w:r>
      <w:r>
        <w:t>the stock</w:t>
      </w:r>
      <w:r w:rsidR="00D55D58">
        <w:t xml:space="preserve"> assessment</w:t>
      </w:r>
      <w:r>
        <w:t xml:space="preserve"> (Table 7 and Figure 7).</w:t>
      </w:r>
    </w:p>
    <w:p w14:paraId="78EDA734" w14:textId="211A6A12" w:rsidR="00E26BFA" w:rsidRDefault="00E26BFA" w:rsidP="00E26BFA">
      <w:pPr>
        <w:pStyle w:val="ListParagraph"/>
        <w:numPr>
          <w:ilvl w:val="1"/>
          <w:numId w:val="8"/>
        </w:numPr>
        <w:spacing w:after="160" w:line="259" w:lineRule="auto"/>
      </w:pPr>
      <w:r>
        <w:t xml:space="preserve">Updated </w:t>
      </w:r>
      <w:r w:rsidR="00882072">
        <w:t xml:space="preserve">status for the </w:t>
      </w:r>
      <w:r>
        <w:t>five</w:t>
      </w:r>
      <w:r w:rsidR="002B7AF4">
        <w:t>-</w:t>
      </w:r>
      <w:r>
        <w:t>year means were all negative, whereas one of three was neutral during the stock assessment.</w:t>
      </w:r>
    </w:p>
    <w:p w14:paraId="04AC6A9D" w14:textId="6DAA2F25" w:rsidR="00E26BFA" w:rsidRDefault="00E26BFA" w:rsidP="00E26BFA">
      <w:pPr>
        <w:pStyle w:val="ListParagraph"/>
        <w:numPr>
          <w:ilvl w:val="1"/>
          <w:numId w:val="8"/>
        </w:numPr>
        <w:spacing w:after="160" w:line="259" w:lineRule="auto"/>
      </w:pPr>
      <w:r>
        <w:t xml:space="preserve">No YOY have been caught during the MA survey for the last </w:t>
      </w:r>
      <w:r w:rsidR="00316838">
        <w:t>nine</w:t>
      </w:r>
      <w:r>
        <w:t xml:space="preserve"> years.</w:t>
      </w:r>
    </w:p>
    <w:p w14:paraId="76A21958" w14:textId="5BEACFA9" w:rsidR="005728CC" w:rsidRPr="009C68B1" w:rsidRDefault="00E57D17" w:rsidP="00E26BFA">
      <w:pPr>
        <w:pStyle w:val="ListParagraph"/>
        <w:numPr>
          <w:ilvl w:val="1"/>
          <w:numId w:val="8"/>
        </w:numPr>
        <w:spacing w:after="160" w:line="259" w:lineRule="auto"/>
      </w:pPr>
      <w:r w:rsidRPr="009C68B1">
        <w:t>It is very important to note that the</w:t>
      </w:r>
      <w:r w:rsidR="005728CC" w:rsidRPr="009C68B1">
        <w:t xml:space="preserve"> CT/ELIS YOY </w:t>
      </w:r>
      <w:r w:rsidRPr="009C68B1">
        <w:t xml:space="preserve">values for 2022 and </w:t>
      </w:r>
      <w:r w:rsidR="005728CC" w:rsidRPr="009C68B1">
        <w:t xml:space="preserve">2023 </w:t>
      </w:r>
      <w:r w:rsidRPr="009C68B1">
        <w:t xml:space="preserve">are </w:t>
      </w:r>
      <w:r w:rsidR="005728CC" w:rsidRPr="009C68B1">
        <w:t xml:space="preserve">calculated from only </w:t>
      </w:r>
      <w:r w:rsidR="009C68B1">
        <w:t>one</w:t>
      </w:r>
      <w:r w:rsidRPr="009C68B1">
        <w:t xml:space="preserve"> and </w:t>
      </w:r>
      <w:r w:rsidR="009C68B1">
        <w:t>two</w:t>
      </w:r>
      <w:r w:rsidR="005728CC" w:rsidRPr="009C68B1">
        <w:t xml:space="preserve"> observed larvae</w:t>
      </w:r>
      <w:r w:rsidRPr="009C68B1">
        <w:t>, respectively</w:t>
      </w:r>
      <w:r w:rsidR="005D05B4">
        <w:t xml:space="preserve"> (marked with asterisks in Figure 7)</w:t>
      </w:r>
      <w:r w:rsidR="005728CC" w:rsidRPr="009C68B1">
        <w:t>.</w:t>
      </w:r>
      <w:r w:rsidR="009C68B1">
        <w:t xml:space="preserve"> Survey sampling methods changed in these years due to reduced encounters of lobsters</w:t>
      </w:r>
      <w:r w:rsidR="0024636D">
        <w:t xml:space="preserve">, making interpretation of these </w:t>
      </w:r>
      <w:r w:rsidR="00320978">
        <w:t>two years problematic relative to the rest of the time series</w:t>
      </w:r>
      <w:r w:rsidR="009C68B1">
        <w:t>.</w:t>
      </w:r>
      <w:r w:rsidR="005D05B4">
        <w:t xml:space="preserve"> </w:t>
      </w:r>
      <w:r w:rsidR="00707A02">
        <w:t xml:space="preserve">The Stock Assessment Subcommittee will evaluate this dataset during the ongoing </w:t>
      </w:r>
      <w:r w:rsidR="00520052">
        <w:t>benchmark</w:t>
      </w:r>
      <w:r w:rsidR="00707A02">
        <w:t xml:space="preserve"> assessment to determine its use in future assessments and Data Updates.</w:t>
      </w:r>
    </w:p>
    <w:p w14:paraId="6582AA74" w14:textId="24BEE9EC" w:rsidR="00E26BFA" w:rsidRPr="00D66BE9" w:rsidRDefault="0004767E" w:rsidP="00E26BFA">
      <w:pPr>
        <w:pStyle w:val="ListParagraph"/>
        <w:numPr>
          <w:ilvl w:val="0"/>
          <w:numId w:val="8"/>
        </w:numPr>
        <w:spacing w:after="160" w:line="259" w:lineRule="auto"/>
      </w:pPr>
      <w:r>
        <w:t>Trawl survey r</w:t>
      </w:r>
      <w:r w:rsidR="00E26BFA" w:rsidRPr="00D66BE9">
        <w:t xml:space="preserve">ecruit abundance indicators </w:t>
      </w:r>
      <w:r w:rsidR="000E7BC3">
        <w:t>showed declines since the stock assessment</w:t>
      </w:r>
      <w:r w:rsidR="00E26BFA" w:rsidRPr="00D66BE9">
        <w:t xml:space="preserve"> (Table 8 and Figure 8).</w:t>
      </w:r>
    </w:p>
    <w:p w14:paraId="7637A853" w14:textId="4AC4DCB6" w:rsidR="00DD009F" w:rsidRDefault="00357136" w:rsidP="00DD009F">
      <w:pPr>
        <w:pStyle w:val="ListParagraph"/>
        <w:numPr>
          <w:ilvl w:val="1"/>
          <w:numId w:val="8"/>
        </w:numPr>
        <w:spacing w:after="160" w:line="259" w:lineRule="auto"/>
      </w:pPr>
      <w:r>
        <w:t>U</w:t>
      </w:r>
      <w:r w:rsidR="00DD009F">
        <w:t xml:space="preserve">pdated </w:t>
      </w:r>
      <w:r w:rsidR="00882072">
        <w:t xml:space="preserve">status for the </w:t>
      </w:r>
      <w:r w:rsidR="00DD009F">
        <w:t>five</w:t>
      </w:r>
      <w:r w:rsidR="002B7AF4">
        <w:t>-</w:t>
      </w:r>
      <w:r w:rsidR="00DD009F">
        <w:t>year mea</w:t>
      </w:r>
      <w:r w:rsidR="000E7BC3">
        <w:t>ns were all negative, with three of eight moving to negative conditions since the stock assessment</w:t>
      </w:r>
      <w:r w:rsidR="00DD009F">
        <w:t xml:space="preserve">. </w:t>
      </w:r>
      <w:r w:rsidR="009C68B1">
        <w:t>Two of these indicators (NEFSC) did not include additional data since 2022</w:t>
      </w:r>
      <w:r w:rsidR="00707A02">
        <w:t>*</w:t>
      </w:r>
      <w:r w:rsidR="009C68B1">
        <w:t xml:space="preserve"> when they were also negative.</w:t>
      </w:r>
    </w:p>
    <w:p w14:paraId="10304F94" w14:textId="4159CD3C" w:rsidR="00924D6F" w:rsidRDefault="00357136" w:rsidP="00924D6F">
      <w:pPr>
        <w:pStyle w:val="ListParagraph"/>
        <w:numPr>
          <w:ilvl w:val="1"/>
          <w:numId w:val="8"/>
        </w:numPr>
        <w:spacing w:after="160" w:line="259" w:lineRule="auto"/>
      </w:pPr>
      <w:r>
        <w:t>No recruit lobsters were observed in 2023 for three of six available indicators</w:t>
      </w:r>
      <w:r w:rsidR="00924D6F">
        <w:t>.</w:t>
      </w:r>
    </w:p>
    <w:p w14:paraId="5E22C14A" w14:textId="5A2D7EF4" w:rsidR="00E26BFA" w:rsidRDefault="00DD009F" w:rsidP="00DD009F">
      <w:pPr>
        <w:pStyle w:val="ListParagraph"/>
        <w:numPr>
          <w:ilvl w:val="1"/>
          <w:numId w:val="8"/>
        </w:numPr>
        <w:spacing w:after="160" w:line="259" w:lineRule="auto"/>
      </w:pPr>
      <w:r>
        <w:lastRenderedPageBreak/>
        <w:t>Six of eight indicator</w:t>
      </w:r>
      <w:r w:rsidR="00882072">
        <w:t xml:space="preserve"> values</w:t>
      </w:r>
      <w:r>
        <w:t xml:space="preserve"> were not available for 2020 due to </w:t>
      </w:r>
      <w:r w:rsidR="00E56DA5">
        <w:t>COVID</w:t>
      </w:r>
      <w:r>
        <w:t>-19 sampling restrictions.</w:t>
      </w:r>
    </w:p>
    <w:p w14:paraId="765E2ACB" w14:textId="2B84B42B" w:rsidR="00E26BFA" w:rsidRDefault="00E26BFA" w:rsidP="00E26BFA">
      <w:pPr>
        <w:pStyle w:val="ListParagraph"/>
        <w:numPr>
          <w:ilvl w:val="0"/>
          <w:numId w:val="8"/>
        </w:numPr>
        <w:spacing w:after="160" w:line="259" w:lineRule="auto"/>
      </w:pPr>
      <w:r>
        <w:t xml:space="preserve">Trawl survey encounter rates </w:t>
      </w:r>
      <w:r w:rsidR="00DD009F">
        <w:t>showed deteriorating conditions since</w:t>
      </w:r>
      <w:r>
        <w:t xml:space="preserve"> the stock assessment (Table 9 and Figure 9).</w:t>
      </w:r>
    </w:p>
    <w:p w14:paraId="0ECFAA4D" w14:textId="27FF72FB" w:rsidR="00DD009F" w:rsidRDefault="00357136" w:rsidP="00357136">
      <w:pPr>
        <w:pStyle w:val="ListParagraph"/>
        <w:numPr>
          <w:ilvl w:val="1"/>
          <w:numId w:val="8"/>
        </w:numPr>
        <w:spacing w:after="160" w:line="259" w:lineRule="auto"/>
      </w:pPr>
      <w:r>
        <w:t xml:space="preserve">Updated </w:t>
      </w:r>
      <w:r w:rsidR="00882072">
        <w:t xml:space="preserve">status for the </w:t>
      </w:r>
      <w:r>
        <w:t>five-year means were all negative</w:t>
      </w:r>
      <w:r w:rsidR="00DD009F">
        <w:t>, with two changing from neutral to negative since the stock assessment.</w:t>
      </w:r>
      <w:r w:rsidRPr="00357136">
        <w:t xml:space="preserve"> </w:t>
      </w:r>
      <w:r>
        <w:t>Two of these indicators (NEFSC) did not include additional data since 2022</w:t>
      </w:r>
      <w:r w:rsidR="00B3592F">
        <w:t>*</w:t>
      </w:r>
      <w:r>
        <w:t xml:space="preserve"> when they were also negative.</w:t>
      </w:r>
    </w:p>
    <w:p w14:paraId="289EC6AA" w14:textId="41274008" w:rsidR="004D158A" w:rsidRDefault="00357136" w:rsidP="00DD009F">
      <w:pPr>
        <w:pStyle w:val="ListParagraph"/>
        <w:numPr>
          <w:ilvl w:val="1"/>
          <w:numId w:val="8"/>
        </w:numPr>
        <w:spacing w:after="160" w:line="259" w:lineRule="auto"/>
      </w:pPr>
      <w:r>
        <w:t xml:space="preserve">No lobsters of any size </w:t>
      </w:r>
      <w:r w:rsidR="006E5546">
        <w:t>were observed in 2023 for two of six available indicators</w:t>
      </w:r>
      <w:r w:rsidR="004D158A">
        <w:t>.</w:t>
      </w:r>
    </w:p>
    <w:p w14:paraId="159C91B4" w14:textId="1E6C3A73" w:rsidR="00E26BFA" w:rsidRDefault="00E26BFA" w:rsidP="00E26BFA">
      <w:pPr>
        <w:pStyle w:val="ListParagraph"/>
        <w:numPr>
          <w:ilvl w:val="1"/>
          <w:numId w:val="8"/>
        </w:numPr>
        <w:spacing w:after="160" w:line="259" w:lineRule="auto"/>
      </w:pPr>
      <w:r>
        <w:t>Six of eight indicator</w:t>
      </w:r>
      <w:r w:rsidR="00882072">
        <w:t xml:space="preserve"> values </w:t>
      </w:r>
      <w:r>
        <w:t xml:space="preserve">were not available for 2020 due to </w:t>
      </w:r>
      <w:r w:rsidR="00E56DA5">
        <w:t>COVID</w:t>
      </w:r>
      <w:r>
        <w:t>-19 sampling restrictions.</w:t>
      </w:r>
    </w:p>
    <w:p w14:paraId="1BE656A1" w14:textId="21C3FAA3" w:rsidR="00E26BFA" w:rsidRDefault="00E26BFA" w:rsidP="00E26BFA">
      <w:pPr>
        <w:pStyle w:val="ListParagraph"/>
        <w:numPr>
          <w:ilvl w:val="0"/>
          <w:numId w:val="8"/>
        </w:numPr>
        <w:spacing w:after="160" w:line="259" w:lineRule="auto"/>
      </w:pPr>
      <w:r>
        <w:t xml:space="preserve">Ventless trap </w:t>
      </w:r>
      <w:r w:rsidR="0004767E">
        <w:t xml:space="preserve">survey </w:t>
      </w:r>
      <w:r>
        <w:t>indices show</w:t>
      </w:r>
      <w:r w:rsidR="005C4937">
        <w:t xml:space="preserve"> </w:t>
      </w:r>
      <w:r w:rsidR="00316838">
        <w:t xml:space="preserve">continued </w:t>
      </w:r>
      <w:r w:rsidR="000F3945">
        <w:t>declines</w:t>
      </w:r>
      <w:r w:rsidR="000E7BC3">
        <w:t xml:space="preserve"> since the stock assessment </w:t>
      </w:r>
      <w:r>
        <w:t>(Table 10 and Figure 10).</w:t>
      </w:r>
    </w:p>
    <w:p w14:paraId="3CED054A" w14:textId="32667D13" w:rsidR="000F3945" w:rsidRDefault="00882072" w:rsidP="00E26BFA">
      <w:pPr>
        <w:pStyle w:val="ListParagraph"/>
        <w:numPr>
          <w:ilvl w:val="1"/>
          <w:numId w:val="8"/>
        </w:numPr>
        <w:spacing w:after="160" w:line="259" w:lineRule="auto"/>
      </w:pPr>
      <w:r>
        <w:t>The status for t</w:t>
      </w:r>
      <w:r w:rsidR="0005541E">
        <w:t>hree updated</w:t>
      </w:r>
      <w:r w:rsidR="00316838">
        <w:t xml:space="preserve"> five-year mean</w:t>
      </w:r>
      <w:r w:rsidR="0005541E">
        <w:t>s</w:t>
      </w:r>
      <w:r w:rsidR="00316838">
        <w:t xml:space="preserve"> changed from neutral to negative since </w:t>
      </w:r>
      <w:r w:rsidR="000F3945">
        <w:t xml:space="preserve">the stock assessment. The other </w:t>
      </w:r>
      <w:r w:rsidR="00B75816">
        <w:t>updated five-year mean</w:t>
      </w:r>
      <w:r w:rsidR="000F3945">
        <w:t xml:space="preserve"> remained neutral.</w:t>
      </w:r>
    </w:p>
    <w:p w14:paraId="12D68D62" w14:textId="376E6529" w:rsidR="00E26BFA" w:rsidRDefault="000E7BC3" w:rsidP="00E26BFA">
      <w:pPr>
        <w:pStyle w:val="ListParagraph"/>
        <w:numPr>
          <w:ilvl w:val="1"/>
          <w:numId w:val="8"/>
        </w:numPr>
        <w:spacing w:after="160" w:line="259" w:lineRule="auto"/>
      </w:pPr>
      <w:r>
        <w:t>All 202</w:t>
      </w:r>
      <w:r w:rsidR="00316838">
        <w:t>3</w:t>
      </w:r>
      <w:r>
        <w:t xml:space="preserve"> </w:t>
      </w:r>
      <w:r w:rsidR="00882072">
        <w:t xml:space="preserve">annual </w:t>
      </w:r>
      <w:r>
        <w:t xml:space="preserve">values </w:t>
      </w:r>
      <w:r w:rsidR="00882072">
        <w:t>had</w:t>
      </w:r>
      <w:r>
        <w:t xml:space="preserve"> negative</w:t>
      </w:r>
      <w:r w:rsidR="00882072">
        <w:t xml:space="preserve"> status; this is </w:t>
      </w:r>
      <w:r>
        <w:t xml:space="preserve">the </w:t>
      </w:r>
      <w:r w:rsidR="000F3945">
        <w:t>second</w:t>
      </w:r>
      <w:r>
        <w:t xml:space="preserve"> year </w:t>
      </w:r>
      <w:r w:rsidR="00316838">
        <w:t xml:space="preserve">in a row </w:t>
      </w:r>
      <w:r w:rsidR="00882072">
        <w:t>that annual status has</w:t>
      </w:r>
      <w:r>
        <w:t xml:space="preserve"> been negative across all indicators.</w:t>
      </w:r>
    </w:p>
    <w:p w14:paraId="377FD7FF" w14:textId="7D7F988D" w:rsidR="00B67D59" w:rsidRDefault="00E26BFA" w:rsidP="00B67D59">
      <w:pPr>
        <w:pStyle w:val="ListParagraph"/>
        <w:numPr>
          <w:ilvl w:val="1"/>
          <w:numId w:val="8"/>
        </w:numPr>
        <w:spacing w:after="160" w:line="259" w:lineRule="auto"/>
      </w:pPr>
      <w:r>
        <w:t>It is important to note that the ventless trap survey has only taken place during depleted stock conditions coinciding with an adverse</w:t>
      </w:r>
      <w:r w:rsidDel="00A70B2C">
        <w:t xml:space="preserve"> </w:t>
      </w:r>
      <w:r>
        <w:t>environmental regime, so interannual variability can be misleading without the context of a longer time series encompassing varying stock conditions.</w:t>
      </w:r>
    </w:p>
    <w:p w14:paraId="2110DE89" w14:textId="174F72FF" w:rsidR="00707A02" w:rsidRDefault="00707A02" w:rsidP="00E26BFA">
      <w:pPr>
        <w:spacing w:after="160" w:line="259" w:lineRule="auto"/>
      </w:pPr>
    </w:p>
    <w:p w14:paraId="4761553B" w14:textId="77777777" w:rsidR="00707A02" w:rsidRDefault="00707A02" w:rsidP="00E26BFA">
      <w:pPr>
        <w:spacing w:after="160" w:line="259" w:lineRule="auto"/>
      </w:pPr>
    </w:p>
    <w:p w14:paraId="67F2008E" w14:textId="00974C93" w:rsidR="00707A02" w:rsidRDefault="00707A02" w:rsidP="00E26BFA">
      <w:pPr>
        <w:spacing w:after="160" w:line="259" w:lineRule="auto"/>
        <w:sectPr w:rsidR="00707A02" w:rsidSect="000536FF">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4A0C47A3" w14:textId="771082C8" w:rsidR="00E26BFA" w:rsidRPr="00E26BFA" w:rsidRDefault="00E26BFA" w:rsidP="005650E3">
      <w:pPr>
        <w:spacing w:after="160" w:line="259" w:lineRule="auto"/>
        <w:ind w:left="-1080" w:firstLine="1080"/>
        <w:rPr>
          <w:b/>
        </w:rPr>
      </w:pPr>
      <w:r w:rsidRPr="00E26BFA">
        <w:rPr>
          <w:b/>
        </w:rPr>
        <w:lastRenderedPageBreak/>
        <w:t>Tables and Figures</w:t>
      </w:r>
    </w:p>
    <w:p w14:paraId="54252250" w14:textId="34DEB4B4" w:rsidR="00E26BFA" w:rsidRDefault="00E26BFA" w:rsidP="00E66821">
      <w:pPr>
        <w:ind w:left="-810"/>
      </w:pPr>
      <w:r>
        <w:t>Table 1. GOM abundance indicators: YOY indices.</w:t>
      </w:r>
    </w:p>
    <w:p w14:paraId="2FA238B2" w14:textId="68C4683D" w:rsidR="00E26BFA" w:rsidRDefault="007B6206" w:rsidP="00E66821">
      <w:pPr>
        <w:ind w:left="-1260"/>
        <w:jc w:val="center"/>
      </w:pPr>
      <w:r w:rsidRPr="007B6206">
        <w:rPr>
          <w:noProof/>
        </w:rPr>
        <w:drawing>
          <wp:inline distT="0" distB="0" distL="0" distR="0" wp14:anchorId="14D3611B" wp14:editId="54564800">
            <wp:extent cx="2750709" cy="6949440"/>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0709" cy="6949440"/>
                    </a:xfrm>
                    <a:prstGeom prst="rect">
                      <a:avLst/>
                    </a:prstGeom>
                    <a:noFill/>
                    <a:ln>
                      <a:noFill/>
                    </a:ln>
                  </pic:spPr>
                </pic:pic>
              </a:graphicData>
            </a:graphic>
          </wp:inline>
        </w:drawing>
      </w:r>
      <w:r w:rsidR="0019270E">
        <w:rPr>
          <w:noProof/>
        </w:rPr>
        <w:drawing>
          <wp:anchor distT="0" distB="0" distL="114300" distR="114300" simplePos="0" relativeHeight="251694080" behindDoc="0" locked="0" layoutInCell="1" allowOverlap="1" wp14:anchorId="402B7B9E" wp14:editId="1D5D179F">
            <wp:simplePos x="0" y="0"/>
            <wp:positionH relativeFrom="column">
              <wp:posOffset>2388870</wp:posOffset>
            </wp:positionH>
            <wp:positionV relativeFrom="paragraph">
              <wp:posOffset>8890</wp:posOffset>
            </wp:positionV>
            <wp:extent cx="4240137" cy="4846320"/>
            <wp:effectExtent l="0" t="0" r="825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40137" cy="4846320"/>
                    </a:xfrm>
                    <a:prstGeom prst="rect">
                      <a:avLst/>
                    </a:prstGeom>
                    <a:noFill/>
                    <a:ln>
                      <a:noFill/>
                    </a:ln>
                  </pic:spPr>
                </pic:pic>
              </a:graphicData>
            </a:graphic>
          </wp:anchor>
        </w:drawing>
      </w:r>
    </w:p>
    <w:p w14:paraId="73F23D46" w14:textId="77777777" w:rsidR="00E26BFA" w:rsidRDefault="00E26BFA" w:rsidP="00192051"/>
    <w:p w14:paraId="2F258A89" w14:textId="77777777" w:rsidR="00E26BFA" w:rsidRDefault="00E26BFA" w:rsidP="005650E3">
      <w:pPr>
        <w:ind w:left="-1260"/>
      </w:pPr>
    </w:p>
    <w:p w14:paraId="4E407705" w14:textId="77777777" w:rsidR="00E26BFA" w:rsidRDefault="00E26BFA" w:rsidP="005650E3">
      <w:pPr>
        <w:ind w:left="-1260"/>
      </w:pPr>
    </w:p>
    <w:p w14:paraId="1A22DF13" w14:textId="77777777" w:rsidR="005650E3" w:rsidRDefault="005650E3" w:rsidP="005650E3">
      <w:pPr>
        <w:ind w:left="-1260"/>
      </w:pPr>
    </w:p>
    <w:p w14:paraId="46D490BA" w14:textId="77777777" w:rsidR="00E26BFA" w:rsidRDefault="00E26BFA" w:rsidP="00E66821">
      <w:pPr>
        <w:ind w:left="-630"/>
      </w:pPr>
      <w:r>
        <w:t>Figure 1. GOM abundance indicators: YOY indices.</w:t>
      </w:r>
    </w:p>
    <w:p w14:paraId="63C10B95" w14:textId="77777777" w:rsidR="00E26BFA" w:rsidRDefault="00E26BFA" w:rsidP="005650E3">
      <w:pPr>
        <w:ind w:left="-1260"/>
      </w:pPr>
    </w:p>
    <w:p w14:paraId="7FE62F10" w14:textId="4ECE90C1" w:rsidR="00E26BFA" w:rsidRDefault="00E26BFA" w:rsidP="005650E3">
      <w:pPr>
        <w:ind w:left="-1260"/>
      </w:pPr>
    </w:p>
    <w:p w14:paraId="3CA87425" w14:textId="59ED60D9" w:rsidR="00E26BFA" w:rsidRDefault="00E26BFA" w:rsidP="005650E3">
      <w:pPr>
        <w:ind w:left="-1260"/>
      </w:pPr>
    </w:p>
    <w:p w14:paraId="257C88AF" w14:textId="35EB0664" w:rsidR="00E26BFA" w:rsidRDefault="00E26BFA" w:rsidP="005650E3">
      <w:pPr>
        <w:ind w:left="-1260"/>
      </w:pPr>
    </w:p>
    <w:p w14:paraId="359461DD" w14:textId="77777777" w:rsidR="00E26BFA" w:rsidRDefault="00E26BFA" w:rsidP="005650E3">
      <w:pPr>
        <w:ind w:left="-1260"/>
      </w:pPr>
    </w:p>
    <w:p w14:paraId="187B2F48" w14:textId="77777777" w:rsidR="00E26BFA" w:rsidRDefault="00E26BFA" w:rsidP="005650E3">
      <w:pPr>
        <w:ind w:left="-1260"/>
      </w:pPr>
    </w:p>
    <w:p w14:paraId="48D1A862" w14:textId="33322336" w:rsidR="00E26BFA" w:rsidRDefault="00E26BFA" w:rsidP="005650E3">
      <w:pPr>
        <w:ind w:left="-1260"/>
      </w:pPr>
    </w:p>
    <w:p w14:paraId="2E359F87" w14:textId="77777777" w:rsidR="00E26BFA" w:rsidRDefault="00E26BFA" w:rsidP="005650E3">
      <w:pPr>
        <w:ind w:left="-1260"/>
      </w:pPr>
    </w:p>
    <w:p w14:paraId="5A35D568" w14:textId="77777777" w:rsidR="00E26BFA" w:rsidRDefault="00E26BFA" w:rsidP="005650E3">
      <w:pPr>
        <w:ind w:left="-1260"/>
      </w:pPr>
    </w:p>
    <w:p w14:paraId="5E48EF0A" w14:textId="77777777" w:rsidR="00E26BFA" w:rsidRDefault="00E26BFA" w:rsidP="005650E3">
      <w:pPr>
        <w:ind w:left="-1260"/>
      </w:pPr>
    </w:p>
    <w:p w14:paraId="2F0740EE" w14:textId="77777777" w:rsidR="00E26BFA" w:rsidRDefault="00E26BFA" w:rsidP="005650E3">
      <w:pPr>
        <w:ind w:left="-1260"/>
      </w:pPr>
    </w:p>
    <w:p w14:paraId="4452AC53" w14:textId="77777777" w:rsidR="00E26BFA" w:rsidRDefault="00E26BFA" w:rsidP="005650E3">
      <w:pPr>
        <w:ind w:left="-1260"/>
      </w:pPr>
    </w:p>
    <w:p w14:paraId="32A9B908" w14:textId="77777777" w:rsidR="00E26BFA" w:rsidRDefault="00E26BFA" w:rsidP="005650E3">
      <w:pPr>
        <w:ind w:left="-1260"/>
      </w:pPr>
    </w:p>
    <w:p w14:paraId="342C2952" w14:textId="77777777" w:rsidR="00E26BFA" w:rsidRDefault="00E26BFA" w:rsidP="005650E3">
      <w:pPr>
        <w:ind w:left="-1260"/>
      </w:pPr>
    </w:p>
    <w:p w14:paraId="1D39F839" w14:textId="77777777" w:rsidR="00E26BFA" w:rsidRDefault="00E26BFA" w:rsidP="005650E3">
      <w:pPr>
        <w:ind w:left="-1260"/>
      </w:pPr>
    </w:p>
    <w:p w14:paraId="53F4567B" w14:textId="77777777" w:rsidR="00E26BFA" w:rsidRDefault="00E26BFA" w:rsidP="005650E3">
      <w:pPr>
        <w:ind w:left="-1260"/>
      </w:pPr>
    </w:p>
    <w:p w14:paraId="5FA69A3A" w14:textId="77777777" w:rsidR="00E26BFA" w:rsidRDefault="00E26BFA" w:rsidP="005650E3">
      <w:pPr>
        <w:ind w:left="-1260"/>
      </w:pPr>
    </w:p>
    <w:p w14:paraId="15779257" w14:textId="77777777" w:rsidR="00E26BFA" w:rsidRDefault="00E26BFA" w:rsidP="005650E3">
      <w:pPr>
        <w:ind w:left="-1260"/>
      </w:pPr>
    </w:p>
    <w:p w14:paraId="2735E355" w14:textId="77777777" w:rsidR="00E26BFA" w:rsidRDefault="00E26BFA" w:rsidP="005650E3">
      <w:pPr>
        <w:ind w:left="-1260"/>
      </w:pPr>
    </w:p>
    <w:p w14:paraId="595EF18B" w14:textId="77777777" w:rsidR="00E26BFA" w:rsidRDefault="00E26BFA" w:rsidP="005650E3">
      <w:pPr>
        <w:ind w:left="-1260"/>
      </w:pPr>
    </w:p>
    <w:p w14:paraId="2A654E25" w14:textId="77777777" w:rsidR="00E26BFA" w:rsidRDefault="00E26BFA" w:rsidP="005650E3">
      <w:pPr>
        <w:ind w:left="-1260"/>
      </w:pPr>
    </w:p>
    <w:p w14:paraId="0B73A375" w14:textId="77777777" w:rsidR="00E26BFA" w:rsidRDefault="00E26BFA" w:rsidP="005650E3">
      <w:pPr>
        <w:ind w:left="-1260"/>
      </w:pPr>
    </w:p>
    <w:p w14:paraId="6E5273F4" w14:textId="77777777" w:rsidR="00E26BFA" w:rsidRDefault="00E26BFA" w:rsidP="005650E3">
      <w:pPr>
        <w:ind w:left="-1260"/>
      </w:pPr>
    </w:p>
    <w:p w14:paraId="6C37372C" w14:textId="77777777" w:rsidR="00E26BFA" w:rsidRDefault="00E26BFA" w:rsidP="005650E3">
      <w:pPr>
        <w:ind w:left="-1260"/>
      </w:pPr>
    </w:p>
    <w:p w14:paraId="1D4C839B" w14:textId="77777777" w:rsidR="00E26BFA" w:rsidRDefault="00E26BFA" w:rsidP="005650E3">
      <w:pPr>
        <w:ind w:left="-1260"/>
      </w:pPr>
    </w:p>
    <w:p w14:paraId="1B618516" w14:textId="77777777" w:rsidR="00E26BFA" w:rsidRDefault="00E26BFA" w:rsidP="005650E3">
      <w:pPr>
        <w:ind w:left="-1260"/>
      </w:pPr>
    </w:p>
    <w:p w14:paraId="073B642E" w14:textId="77777777" w:rsidR="00E26BFA" w:rsidRDefault="00E26BFA" w:rsidP="005650E3">
      <w:pPr>
        <w:ind w:left="-1260"/>
      </w:pPr>
      <w:r>
        <w:br w:type="page"/>
      </w:r>
    </w:p>
    <w:p w14:paraId="0C7EDB42" w14:textId="0710707E" w:rsidR="00E26BFA" w:rsidRDefault="00E26BFA" w:rsidP="00E66821">
      <w:pPr>
        <w:ind w:left="-900" w:right="270"/>
      </w:pPr>
      <w:r>
        <w:lastRenderedPageBreak/>
        <w:t xml:space="preserve">Table 2. GOM abundance indicators: </w:t>
      </w:r>
      <w:r w:rsidR="0004767E">
        <w:t xml:space="preserve">trawl survey </w:t>
      </w:r>
      <w:r>
        <w:t>recruit abundance.</w:t>
      </w:r>
    </w:p>
    <w:p w14:paraId="79AE1C55" w14:textId="11920040" w:rsidR="00E26BFA" w:rsidRDefault="00101971" w:rsidP="005650E3">
      <w:pPr>
        <w:ind w:left="-1260"/>
        <w:jc w:val="center"/>
      </w:pPr>
      <w:r w:rsidRPr="00101971">
        <w:rPr>
          <w:noProof/>
        </w:rPr>
        <w:drawing>
          <wp:inline distT="0" distB="0" distL="0" distR="0" wp14:anchorId="3D9734E7" wp14:editId="06C3E3A4">
            <wp:extent cx="3030935" cy="69494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0935" cy="6949440"/>
                    </a:xfrm>
                    <a:prstGeom prst="rect">
                      <a:avLst/>
                    </a:prstGeom>
                    <a:noFill/>
                    <a:ln>
                      <a:noFill/>
                    </a:ln>
                  </pic:spPr>
                </pic:pic>
              </a:graphicData>
            </a:graphic>
          </wp:inline>
        </w:drawing>
      </w:r>
      <w:r w:rsidR="00B36EA9">
        <w:rPr>
          <w:noProof/>
        </w:rPr>
        <w:drawing>
          <wp:anchor distT="0" distB="0" distL="114300" distR="114300" simplePos="0" relativeHeight="251698176" behindDoc="0" locked="0" layoutInCell="1" allowOverlap="1" wp14:anchorId="03450BA6" wp14:editId="7B8B81B3">
            <wp:simplePos x="0" y="0"/>
            <wp:positionH relativeFrom="column">
              <wp:posOffset>2396490</wp:posOffset>
            </wp:positionH>
            <wp:positionV relativeFrom="paragraph">
              <wp:posOffset>9525</wp:posOffset>
            </wp:positionV>
            <wp:extent cx="4233672" cy="3024201"/>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33672" cy="30242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EF367A" w14:textId="77777777" w:rsidR="00E26BFA" w:rsidRDefault="00E26BFA" w:rsidP="00D82C7A"/>
    <w:p w14:paraId="5409C63A" w14:textId="77777777" w:rsidR="00E26BFA" w:rsidRDefault="00E26BFA" w:rsidP="005650E3">
      <w:pPr>
        <w:ind w:left="-1260"/>
        <w:jc w:val="center"/>
      </w:pPr>
    </w:p>
    <w:p w14:paraId="16068C18" w14:textId="77777777" w:rsidR="00E26BFA" w:rsidRDefault="00E26BFA" w:rsidP="00E66821">
      <w:pPr>
        <w:ind w:left="-720"/>
      </w:pPr>
      <w:r>
        <w:t xml:space="preserve">Figure 2. GOM abundance indicators: </w:t>
      </w:r>
      <w:r w:rsidR="0004767E">
        <w:t xml:space="preserve">trawl survey </w:t>
      </w:r>
      <w:r>
        <w:t>recruit abundance.</w:t>
      </w:r>
    </w:p>
    <w:p w14:paraId="14393336" w14:textId="32746C6E" w:rsidR="00E26BFA" w:rsidRDefault="00E26BFA" w:rsidP="005650E3">
      <w:pPr>
        <w:ind w:left="-1260"/>
      </w:pPr>
    </w:p>
    <w:p w14:paraId="716E64D3" w14:textId="7A21CFA0" w:rsidR="00E26BFA" w:rsidRDefault="00E26BFA" w:rsidP="005650E3">
      <w:pPr>
        <w:ind w:left="-1260"/>
      </w:pPr>
    </w:p>
    <w:p w14:paraId="331ED40F" w14:textId="77777777" w:rsidR="00E26BFA" w:rsidRDefault="00E26BFA" w:rsidP="005650E3">
      <w:pPr>
        <w:ind w:left="-1260"/>
      </w:pPr>
    </w:p>
    <w:p w14:paraId="40BA2262" w14:textId="77777777" w:rsidR="00E26BFA" w:rsidRDefault="00E26BFA" w:rsidP="005650E3">
      <w:pPr>
        <w:ind w:left="-1260"/>
      </w:pPr>
    </w:p>
    <w:p w14:paraId="3FC5E8C3" w14:textId="77777777" w:rsidR="00E26BFA" w:rsidRDefault="00E26BFA" w:rsidP="005650E3">
      <w:pPr>
        <w:ind w:left="-1260"/>
      </w:pPr>
    </w:p>
    <w:p w14:paraId="267F4E8B" w14:textId="77777777" w:rsidR="00E26BFA" w:rsidRDefault="00E26BFA" w:rsidP="005650E3">
      <w:pPr>
        <w:ind w:left="-1260"/>
      </w:pPr>
    </w:p>
    <w:p w14:paraId="7CF4EBD5" w14:textId="77777777" w:rsidR="00E26BFA" w:rsidRDefault="00E26BFA" w:rsidP="005650E3">
      <w:pPr>
        <w:ind w:left="-1260"/>
      </w:pPr>
    </w:p>
    <w:p w14:paraId="5B083334" w14:textId="77777777" w:rsidR="00E26BFA" w:rsidRDefault="00E26BFA" w:rsidP="005650E3">
      <w:pPr>
        <w:ind w:left="-1260"/>
      </w:pPr>
    </w:p>
    <w:p w14:paraId="64A13039" w14:textId="77777777" w:rsidR="00E26BFA" w:rsidRDefault="00E26BFA" w:rsidP="005650E3">
      <w:pPr>
        <w:ind w:left="-1260"/>
      </w:pPr>
    </w:p>
    <w:p w14:paraId="16C3EED9" w14:textId="77777777" w:rsidR="00E26BFA" w:rsidRDefault="00E26BFA" w:rsidP="005650E3">
      <w:pPr>
        <w:ind w:left="-1260"/>
      </w:pPr>
    </w:p>
    <w:p w14:paraId="75AEC323" w14:textId="77777777" w:rsidR="00E26BFA" w:rsidRDefault="00E26BFA" w:rsidP="005650E3">
      <w:pPr>
        <w:ind w:left="-1260"/>
      </w:pPr>
    </w:p>
    <w:p w14:paraId="4C80FA6B" w14:textId="77777777" w:rsidR="00E26BFA" w:rsidRDefault="00E26BFA" w:rsidP="005650E3">
      <w:pPr>
        <w:ind w:left="-1260"/>
      </w:pPr>
    </w:p>
    <w:p w14:paraId="0B13B982" w14:textId="77777777" w:rsidR="00E26BFA" w:rsidRDefault="00E26BFA" w:rsidP="005650E3">
      <w:pPr>
        <w:ind w:left="-1260"/>
      </w:pPr>
    </w:p>
    <w:p w14:paraId="0EC07384" w14:textId="77777777" w:rsidR="00E26BFA" w:rsidRDefault="00E26BFA" w:rsidP="005650E3">
      <w:pPr>
        <w:ind w:left="-1260"/>
      </w:pPr>
    </w:p>
    <w:p w14:paraId="081C46C7" w14:textId="77777777" w:rsidR="00E26BFA" w:rsidRDefault="00E26BFA" w:rsidP="005650E3">
      <w:pPr>
        <w:ind w:left="-1260"/>
      </w:pPr>
    </w:p>
    <w:p w14:paraId="3FD40022" w14:textId="77777777" w:rsidR="00E26BFA" w:rsidRDefault="00E26BFA" w:rsidP="005650E3">
      <w:pPr>
        <w:ind w:left="-1260"/>
      </w:pPr>
      <w:r>
        <w:br w:type="page"/>
      </w:r>
    </w:p>
    <w:p w14:paraId="4315E8E6" w14:textId="442DA9B5" w:rsidR="00E26BFA" w:rsidRDefault="00E26BFA" w:rsidP="00E66821">
      <w:pPr>
        <w:ind w:left="-810"/>
      </w:pPr>
      <w:r>
        <w:lastRenderedPageBreak/>
        <w:t xml:space="preserve">Table 3. GOM abundance indicators: </w:t>
      </w:r>
      <w:r w:rsidR="0004767E">
        <w:t xml:space="preserve">trawl </w:t>
      </w:r>
      <w:r>
        <w:t>survey encounter rate.</w:t>
      </w:r>
    </w:p>
    <w:p w14:paraId="3A94A382" w14:textId="28ADFD93" w:rsidR="00E26BFA" w:rsidRDefault="00101971" w:rsidP="005650E3">
      <w:pPr>
        <w:ind w:left="-1260"/>
        <w:jc w:val="center"/>
      </w:pPr>
      <w:r w:rsidRPr="00101971">
        <w:rPr>
          <w:noProof/>
        </w:rPr>
        <w:drawing>
          <wp:inline distT="0" distB="0" distL="0" distR="0" wp14:anchorId="3E0AE579" wp14:editId="6D67254D">
            <wp:extent cx="2890838" cy="6949440"/>
            <wp:effectExtent l="0" t="0" r="508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0838" cy="6949440"/>
                    </a:xfrm>
                    <a:prstGeom prst="rect">
                      <a:avLst/>
                    </a:prstGeom>
                    <a:noFill/>
                    <a:ln>
                      <a:noFill/>
                    </a:ln>
                  </pic:spPr>
                </pic:pic>
              </a:graphicData>
            </a:graphic>
          </wp:inline>
        </w:drawing>
      </w:r>
      <w:r w:rsidR="00B36EA9">
        <w:rPr>
          <w:noProof/>
        </w:rPr>
        <w:drawing>
          <wp:anchor distT="0" distB="0" distL="114300" distR="114300" simplePos="0" relativeHeight="251699200" behindDoc="0" locked="0" layoutInCell="1" allowOverlap="1" wp14:anchorId="1D670F50" wp14:editId="1BF9300D">
            <wp:simplePos x="0" y="0"/>
            <wp:positionH relativeFrom="column">
              <wp:posOffset>2373630</wp:posOffset>
            </wp:positionH>
            <wp:positionV relativeFrom="paragraph">
              <wp:posOffset>9525</wp:posOffset>
            </wp:positionV>
            <wp:extent cx="4233672" cy="3024201"/>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33672" cy="30242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5197E7" w14:textId="77777777" w:rsidR="00E26BFA" w:rsidRDefault="00E26BFA" w:rsidP="005650E3">
      <w:pPr>
        <w:ind w:left="-1260"/>
      </w:pPr>
    </w:p>
    <w:p w14:paraId="134EBFF9" w14:textId="77777777" w:rsidR="00E26BFA" w:rsidRDefault="00E26BFA" w:rsidP="000E042A"/>
    <w:p w14:paraId="4F276C07" w14:textId="77777777" w:rsidR="005650E3" w:rsidRDefault="005650E3" w:rsidP="005650E3">
      <w:pPr>
        <w:ind w:left="-1260"/>
      </w:pPr>
    </w:p>
    <w:p w14:paraId="366827B4" w14:textId="77777777" w:rsidR="00E26BFA" w:rsidRDefault="00E26BFA" w:rsidP="00E66821">
      <w:pPr>
        <w:ind w:left="-720"/>
      </w:pPr>
      <w:r>
        <w:t xml:space="preserve">Figure 3. GOM abundance indicators: </w:t>
      </w:r>
      <w:r w:rsidR="0004767E">
        <w:t xml:space="preserve">trawl </w:t>
      </w:r>
      <w:r>
        <w:t>survey encounter rate.</w:t>
      </w:r>
    </w:p>
    <w:p w14:paraId="54C7F217" w14:textId="77777777" w:rsidR="00E26BFA" w:rsidRDefault="00E26BFA" w:rsidP="005650E3">
      <w:pPr>
        <w:ind w:left="-1260"/>
      </w:pPr>
    </w:p>
    <w:p w14:paraId="159F440F" w14:textId="77777777" w:rsidR="00E26BFA" w:rsidRDefault="00E26BFA" w:rsidP="005650E3">
      <w:pPr>
        <w:ind w:left="-1260"/>
      </w:pPr>
    </w:p>
    <w:p w14:paraId="1A02B5EA" w14:textId="77777777" w:rsidR="00E26BFA" w:rsidRDefault="00E26BFA" w:rsidP="005650E3">
      <w:pPr>
        <w:ind w:left="-1260"/>
      </w:pPr>
    </w:p>
    <w:p w14:paraId="750989E7" w14:textId="2B1351E9" w:rsidR="00E26BFA" w:rsidRDefault="00E26BFA" w:rsidP="005650E3">
      <w:pPr>
        <w:ind w:left="-1260"/>
      </w:pPr>
    </w:p>
    <w:p w14:paraId="09FC5018" w14:textId="77777777" w:rsidR="00E26BFA" w:rsidRDefault="00E26BFA" w:rsidP="005650E3">
      <w:pPr>
        <w:ind w:left="-1260"/>
      </w:pPr>
    </w:p>
    <w:p w14:paraId="2F994EDC" w14:textId="77777777" w:rsidR="00E26BFA" w:rsidRDefault="00E26BFA" w:rsidP="005650E3">
      <w:pPr>
        <w:ind w:left="-1260"/>
      </w:pPr>
    </w:p>
    <w:p w14:paraId="277312DC" w14:textId="77777777" w:rsidR="00E26BFA" w:rsidRDefault="00E26BFA" w:rsidP="005650E3">
      <w:pPr>
        <w:ind w:left="-1260"/>
      </w:pPr>
    </w:p>
    <w:p w14:paraId="04A73999" w14:textId="77777777" w:rsidR="00E26BFA" w:rsidRDefault="00E26BFA" w:rsidP="005650E3">
      <w:pPr>
        <w:ind w:left="-1260"/>
      </w:pPr>
    </w:p>
    <w:p w14:paraId="1E59547D" w14:textId="2764F3D4" w:rsidR="00E26BFA" w:rsidRDefault="00E26BFA" w:rsidP="005650E3">
      <w:pPr>
        <w:ind w:left="-1260"/>
      </w:pPr>
    </w:p>
    <w:p w14:paraId="640AF1D6" w14:textId="77777777" w:rsidR="00E26BFA" w:rsidRDefault="00E26BFA" w:rsidP="005650E3">
      <w:pPr>
        <w:ind w:left="-1260"/>
      </w:pPr>
    </w:p>
    <w:p w14:paraId="12EC81F3" w14:textId="77777777" w:rsidR="00E26BFA" w:rsidRDefault="00E26BFA" w:rsidP="005650E3">
      <w:pPr>
        <w:ind w:left="-1260"/>
      </w:pPr>
    </w:p>
    <w:p w14:paraId="16420DA3" w14:textId="77777777" w:rsidR="00E26BFA" w:rsidRDefault="00E26BFA" w:rsidP="005650E3">
      <w:pPr>
        <w:ind w:left="-1260"/>
      </w:pPr>
    </w:p>
    <w:p w14:paraId="7F11EF31" w14:textId="77777777" w:rsidR="00E26BFA" w:rsidRDefault="00E26BFA" w:rsidP="005650E3">
      <w:pPr>
        <w:ind w:left="-1260"/>
      </w:pPr>
    </w:p>
    <w:p w14:paraId="6E1227DB" w14:textId="77777777" w:rsidR="00E26BFA" w:rsidRDefault="00E26BFA" w:rsidP="005650E3">
      <w:pPr>
        <w:ind w:left="-1260"/>
      </w:pPr>
    </w:p>
    <w:p w14:paraId="498FDC8B" w14:textId="77777777" w:rsidR="00E26BFA" w:rsidRDefault="00E26BFA" w:rsidP="005650E3">
      <w:pPr>
        <w:ind w:left="-1260"/>
      </w:pPr>
    </w:p>
    <w:p w14:paraId="2F0C8E33" w14:textId="77777777" w:rsidR="00E26BFA" w:rsidRDefault="00E26BFA" w:rsidP="005650E3">
      <w:pPr>
        <w:ind w:left="-1260"/>
      </w:pPr>
    </w:p>
    <w:p w14:paraId="0FB7FBDE" w14:textId="77777777" w:rsidR="00E26BFA" w:rsidRDefault="00E26BFA" w:rsidP="005650E3">
      <w:pPr>
        <w:ind w:left="-1260"/>
      </w:pPr>
    </w:p>
    <w:p w14:paraId="2046361D" w14:textId="77777777" w:rsidR="00E26BFA" w:rsidRDefault="00E26BFA" w:rsidP="005650E3">
      <w:pPr>
        <w:ind w:left="-1260"/>
      </w:pPr>
    </w:p>
    <w:p w14:paraId="4096AE6F" w14:textId="77777777" w:rsidR="00E26BFA" w:rsidRDefault="00E26BFA" w:rsidP="005650E3">
      <w:pPr>
        <w:ind w:left="-1260"/>
      </w:pPr>
    </w:p>
    <w:p w14:paraId="6FAE9F21" w14:textId="77777777" w:rsidR="00E26BFA" w:rsidRDefault="00E26BFA" w:rsidP="005650E3">
      <w:pPr>
        <w:ind w:left="-1260"/>
      </w:pPr>
    </w:p>
    <w:p w14:paraId="191BA7C8" w14:textId="77777777" w:rsidR="00E26BFA" w:rsidRDefault="00E26BFA" w:rsidP="005650E3">
      <w:pPr>
        <w:ind w:left="-1260"/>
      </w:pPr>
    </w:p>
    <w:p w14:paraId="5500619F" w14:textId="77777777" w:rsidR="00E26BFA" w:rsidRDefault="00E26BFA" w:rsidP="005650E3">
      <w:pPr>
        <w:ind w:left="-1260"/>
      </w:pPr>
    </w:p>
    <w:p w14:paraId="0AADF2EC" w14:textId="77777777" w:rsidR="00E26BFA" w:rsidRDefault="00E26BFA" w:rsidP="005650E3">
      <w:pPr>
        <w:ind w:left="-1260"/>
      </w:pPr>
    </w:p>
    <w:p w14:paraId="4E4CF943" w14:textId="77777777" w:rsidR="00E26BFA" w:rsidRDefault="00E26BFA" w:rsidP="005650E3">
      <w:pPr>
        <w:ind w:left="-1260"/>
      </w:pPr>
    </w:p>
    <w:p w14:paraId="7A035BA6" w14:textId="77777777" w:rsidR="00E26BFA" w:rsidRDefault="00E26BFA" w:rsidP="005650E3">
      <w:pPr>
        <w:ind w:left="-1260"/>
      </w:pPr>
    </w:p>
    <w:p w14:paraId="6DDFE71D" w14:textId="77777777" w:rsidR="00E26BFA" w:rsidRDefault="00E26BFA" w:rsidP="005650E3">
      <w:pPr>
        <w:ind w:left="-1260"/>
      </w:pPr>
    </w:p>
    <w:p w14:paraId="41B22E75" w14:textId="77777777" w:rsidR="00E26BFA" w:rsidRDefault="00E26BFA" w:rsidP="005650E3">
      <w:pPr>
        <w:ind w:left="-1260"/>
      </w:pPr>
      <w:r>
        <w:br w:type="page"/>
      </w:r>
    </w:p>
    <w:p w14:paraId="6BAD2022" w14:textId="41F031B2" w:rsidR="00E26BFA" w:rsidRDefault="00E26BFA" w:rsidP="00E66821">
      <w:pPr>
        <w:ind w:left="-810"/>
      </w:pPr>
      <w:r>
        <w:lastRenderedPageBreak/>
        <w:t>Table 4</w:t>
      </w:r>
      <w:r w:rsidRPr="009A625A">
        <w:t xml:space="preserve">. GOM abundance indicators: ventless trap </w:t>
      </w:r>
      <w:r w:rsidR="0004767E">
        <w:t xml:space="preserve">survey </w:t>
      </w:r>
      <w:r w:rsidRPr="009A625A">
        <w:t>abundance.</w:t>
      </w:r>
    </w:p>
    <w:p w14:paraId="6BB6AC30" w14:textId="7CCAE1DE" w:rsidR="00E26BFA" w:rsidRPr="009A625A" w:rsidRDefault="007B6206" w:rsidP="005650E3">
      <w:pPr>
        <w:ind w:left="-1260"/>
        <w:jc w:val="center"/>
      </w:pPr>
      <w:r w:rsidRPr="007B6206">
        <w:rPr>
          <w:noProof/>
        </w:rPr>
        <w:drawing>
          <wp:inline distT="0" distB="0" distL="0" distR="0" wp14:anchorId="462908E5" wp14:editId="62DFA039">
            <wp:extent cx="3563583" cy="6949440"/>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63583" cy="6949440"/>
                    </a:xfrm>
                    <a:prstGeom prst="rect">
                      <a:avLst/>
                    </a:prstGeom>
                    <a:noFill/>
                    <a:ln>
                      <a:noFill/>
                    </a:ln>
                  </pic:spPr>
                </pic:pic>
              </a:graphicData>
            </a:graphic>
          </wp:inline>
        </w:drawing>
      </w:r>
      <w:r w:rsidR="0019270E">
        <w:rPr>
          <w:noProof/>
        </w:rPr>
        <w:drawing>
          <wp:anchor distT="0" distB="0" distL="114300" distR="114300" simplePos="0" relativeHeight="251695104" behindDoc="0" locked="0" layoutInCell="1" allowOverlap="1" wp14:anchorId="5D4FEEE5" wp14:editId="4D860A17">
            <wp:simplePos x="0" y="0"/>
            <wp:positionH relativeFrom="column">
              <wp:posOffset>2777952</wp:posOffset>
            </wp:positionH>
            <wp:positionV relativeFrom="paragraph">
              <wp:posOffset>9525</wp:posOffset>
            </wp:positionV>
            <wp:extent cx="3840480" cy="4224528"/>
            <wp:effectExtent l="0" t="0" r="7620" b="508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40480" cy="4224528"/>
                    </a:xfrm>
                    <a:prstGeom prst="rect">
                      <a:avLst/>
                    </a:prstGeom>
                    <a:noFill/>
                    <a:ln>
                      <a:noFill/>
                    </a:ln>
                  </pic:spPr>
                </pic:pic>
              </a:graphicData>
            </a:graphic>
          </wp:anchor>
        </w:drawing>
      </w:r>
    </w:p>
    <w:p w14:paraId="59F8A6BF" w14:textId="5C22EC1B" w:rsidR="00E26BFA" w:rsidRPr="009A625A" w:rsidRDefault="00E26BFA" w:rsidP="005650E3">
      <w:pPr>
        <w:ind w:left="-1260"/>
        <w:jc w:val="center"/>
      </w:pPr>
    </w:p>
    <w:p w14:paraId="6CB65709" w14:textId="77777777" w:rsidR="00E26BFA" w:rsidRPr="009A625A" w:rsidRDefault="00E26BFA" w:rsidP="000E042A"/>
    <w:p w14:paraId="2A35F7D8" w14:textId="77777777" w:rsidR="00E26BFA" w:rsidRPr="009A625A" w:rsidRDefault="00E26BFA" w:rsidP="005650E3">
      <w:pPr>
        <w:ind w:left="-1260"/>
      </w:pPr>
    </w:p>
    <w:p w14:paraId="7371F1CE" w14:textId="77777777" w:rsidR="00E26BFA" w:rsidRDefault="00E26BFA" w:rsidP="00E66821">
      <w:pPr>
        <w:ind w:left="-630"/>
      </w:pPr>
      <w:r>
        <w:t>Figure 4</w:t>
      </w:r>
      <w:r w:rsidRPr="009A625A">
        <w:t xml:space="preserve">. GOM abundance indicators: ventless trap </w:t>
      </w:r>
      <w:r w:rsidR="0004767E">
        <w:t xml:space="preserve">survey </w:t>
      </w:r>
      <w:r w:rsidRPr="009A625A">
        <w:t>abundance.</w:t>
      </w:r>
    </w:p>
    <w:p w14:paraId="755671F4" w14:textId="77777777" w:rsidR="00E26BFA" w:rsidRDefault="00E26BFA" w:rsidP="005650E3">
      <w:pPr>
        <w:ind w:left="-1260"/>
      </w:pPr>
    </w:p>
    <w:p w14:paraId="105EA33E" w14:textId="77777777" w:rsidR="00E26BFA" w:rsidRDefault="00E26BFA" w:rsidP="005650E3">
      <w:pPr>
        <w:ind w:left="-1260"/>
      </w:pPr>
    </w:p>
    <w:p w14:paraId="19A92FE8" w14:textId="19CC9E7F" w:rsidR="00E26BFA" w:rsidRDefault="00E26BFA" w:rsidP="005650E3">
      <w:pPr>
        <w:ind w:left="-1260"/>
      </w:pPr>
    </w:p>
    <w:p w14:paraId="0A9F9B78" w14:textId="77777777" w:rsidR="00E26BFA" w:rsidRDefault="00E26BFA" w:rsidP="005650E3">
      <w:pPr>
        <w:ind w:left="-1260"/>
      </w:pPr>
    </w:p>
    <w:p w14:paraId="281C094F" w14:textId="2994757D" w:rsidR="00E26BFA" w:rsidRDefault="00E26BFA" w:rsidP="005650E3">
      <w:pPr>
        <w:ind w:left="-1260"/>
      </w:pPr>
    </w:p>
    <w:p w14:paraId="569DF6D0" w14:textId="77777777" w:rsidR="00E26BFA" w:rsidRDefault="00E26BFA" w:rsidP="005650E3">
      <w:pPr>
        <w:ind w:left="-1260"/>
      </w:pPr>
    </w:p>
    <w:p w14:paraId="05125E9C" w14:textId="77777777" w:rsidR="00E26BFA" w:rsidRDefault="00E26BFA" w:rsidP="005650E3">
      <w:pPr>
        <w:ind w:left="-1260"/>
      </w:pPr>
    </w:p>
    <w:p w14:paraId="2CC4405E" w14:textId="77777777" w:rsidR="00E26BFA" w:rsidRDefault="00E26BFA" w:rsidP="005650E3">
      <w:pPr>
        <w:ind w:left="-1260"/>
      </w:pPr>
    </w:p>
    <w:p w14:paraId="7FE62ABD" w14:textId="77777777" w:rsidR="00E26BFA" w:rsidRDefault="00E26BFA" w:rsidP="005650E3">
      <w:pPr>
        <w:ind w:left="-1260"/>
      </w:pPr>
    </w:p>
    <w:p w14:paraId="3C0297A3" w14:textId="77777777" w:rsidR="00E26BFA" w:rsidRDefault="00E26BFA" w:rsidP="005650E3">
      <w:pPr>
        <w:ind w:left="-1260"/>
      </w:pPr>
    </w:p>
    <w:p w14:paraId="4A800F2C" w14:textId="77777777" w:rsidR="00E26BFA" w:rsidRDefault="00E26BFA" w:rsidP="005650E3">
      <w:pPr>
        <w:ind w:left="-1260"/>
      </w:pPr>
    </w:p>
    <w:p w14:paraId="2DD2E559" w14:textId="77777777" w:rsidR="00E26BFA" w:rsidRDefault="00E26BFA" w:rsidP="005650E3">
      <w:pPr>
        <w:ind w:left="-1260"/>
      </w:pPr>
    </w:p>
    <w:p w14:paraId="0EB5636C" w14:textId="77777777" w:rsidR="00E26BFA" w:rsidRDefault="00E26BFA" w:rsidP="005650E3">
      <w:pPr>
        <w:ind w:left="-1260"/>
      </w:pPr>
    </w:p>
    <w:p w14:paraId="5FB3E2C6" w14:textId="77777777" w:rsidR="00E26BFA" w:rsidRDefault="00E26BFA" w:rsidP="005650E3">
      <w:pPr>
        <w:ind w:left="-1260"/>
      </w:pPr>
    </w:p>
    <w:p w14:paraId="130FBD25" w14:textId="77777777" w:rsidR="00E26BFA" w:rsidRDefault="00E26BFA" w:rsidP="005650E3">
      <w:pPr>
        <w:ind w:left="-1260"/>
      </w:pPr>
    </w:p>
    <w:p w14:paraId="5DD7E78A" w14:textId="77777777" w:rsidR="00E26BFA" w:rsidRDefault="00E26BFA" w:rsidP="005650E3">
      <w:pPr>
        <w:ind w:left="-1260"/>
      </w:pPr>
    </w:p>
    <w:p w14:paraId="3EDA94B1" w14:textId="77777777" w:rsidR="00E26BFA" w:rsidRPr="009A625A" w:rsidRDefault="00E26BFA" w:rsidP="005650E3">
      <w:pPr>
        <w:ind w:left="-1260"/>
      </w:pPr>
    </w:p>
    <w:p w14:paraId="628711EE" w14:textId="77777777" w:rsidR="00E26BFA" w:rsidRPr="00700FE6" w:rsidRDefault="00E26BFA" w:rsidP="005650E3">
      <w:pPr>
        <w:ind w:left="-1260"/>
        <w:rPr>
          <w:strike/>
        </w:rPr>
      </w:pPr>
    </w:p>
    <w:p w14:paraId="72C7CA2C" w14:textId="77777777" w:rsidR="00E26BFA" w:rsidRDefault="00E26BFA" w:rsidP="005650E3">
      <w:pPr>
        <w:ind w:left="-1260"/>
      </w:pPr>
      <w:r>
        <w:br w:type="page"/>
      </w:r>
    </w:p>
    <w:p w14:paraId="75A3FDB5" w14:textId="121C0691" w:rsidR="00E26BFA" w:rsidRDefault="00E26BFA" w:rsidP="00E66821">
      <w:pPr>
        <w:ind w:left="-720" w:right="180"/>
      </w:pPr>
      <w:r>
        <w:lastRenderedPageBreak/>
        <w:t xml:space="preserve">Table 5. GBK abundance indicators: </w:t>
      </w:r>
      <w:r w:rsidR="0004767E">
        <w:t xml:space="preserve">trawl survey </w:t>
      </w:r>
      <w:r>
        <w:t>recruit abundance.</w:t>
      </w:r>
    </w:p>
    <w:p w14:paraId="2F48EF2F" w14:textId="77CB1BB6" w:rsidR="00E26BFA" w:rsidRDefault="00101971" w:rsidP="005650E3">
      <w:pPr>
        <w:ind w:left="-1260"/>
        <w:jc w:val="center"/>
      </w:pPr>
      <w:r w:rsidRPr="00101971">
        <w:rPr>
          <w:noProof/>
        </w:rPr>
        <w:drawing>
          <wp:inline distT="0" distB="0" distL="0" distR="0" wp14:anchorId="1F62BF8F" wp14:editId="005961EB">
            <wp:extent cx="1504638" cy="6949440"/>
            <wp:effectExtent l="0" t="0" r="635"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04638" cy="6949440"/>
                    </a:xfrm>
                    <a:prstGeom prst="rect">
                      <a:avLst/>
                    </a:prstGeom>
                    <a:noFill/>
                    <a:ln>
                      <a:noFill/>
                    </a:ln>
                  </pic:spPr>
                </pic:pic>
              </a:graphicData>
            </a:graphic>
          </wp:inline>
        </w:drawing>
      </w:r>
      <w:r w:rsidR="00B36EA9">
        <w:rPr>
          <w:noProof/>
        </w:rPr>
        <w:drawing>
          <wp:anchor distT="0" distB="0" distL="114300" distR="114300" simplePos="0" relativeHeight="251700224" behindDoc="0" locked="0" layoutInCell="1" allowOverlap="1" wp14:anchorId="20A4D1AD" wp14:editId="46F70DFA">
            <wp:simplePos x="0" y="0"/>
            <wp:positionH relativeFrom="column">
              <wp:posOffset>2396490</wp:posOffset>
            </wp:positionH>
            <wp:positionV relativeFrom="paragraph">
              <wp:posOffset>9525</wp:posOffset>
            </wp:positionV>
            <wp:extent cx="4224528" cy="1206859"/>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24528" cy="1206859"/>
                    </a:xfrm>
                    <a:prstGeom prst="rect">
                      <a:avLst/>
                    </a:prstGeom>
                    <a:noFill/>
                    <a:ln>
                      <a:noFill/>
                    </a:ln>
                  </pic:spPr>
                </pic:pic>
              </a:graphicData>
            </a:graphic>
          </wp:anchor>
        </w:drawing>
      </w:r>
    </w:p>
    <w:p w14:paraId="1C0C9D3E" w14:textId="77777777" w:rsidR="00E26BFA" w:rsidRDefault="00E26BFA" w:rsidP="005650E3">
      <w:pPr>
        <w:ind w:left="-1260"/>
      </w:pPr>
    </w:p>
    <w:p w14:paraId="49DA1AFC" w14:textId="77777777" w:rsidR="00E26BFA" w:rsidRDefault="00E26BFA" w:rsidP="000E042A"/>
    <w:p w14:paraId="4F4A1B60" w14:textId="77777777" w:rsidR="00E26BFA" w:rsidRDefault="00E26BFA" w:rsidP="005650E3">
      <w:pPr>
        <w:ind w:left="-1260"/>
      </w:pPr>
    </w:p>
    <w:p w14:paraId="690905F1" w14:textId="77777777" w:rsidR="00E26BFA" w:rsidRDefault="00E26BFA" w:rsidP="00E66821">
      <w:pPr>
        <w:ind w:left="-720"/>
      </w:pPr>
      <w:r>
        <w:t xml:space="preserve">Figure 5. GBK abundance indicators: </w:t>
      </w:r>
      <w:r w:rsidR="0004767E">
        <w:t xml:space="preserve">trawl survey </w:t>
      </w:r>
      <w:r>
        <w:t>recruit abundance.</w:t>
      </w:r>
    </w:p>
    <w:p w14:paraId="1A35E71D" w14:textId="447F0142" w:rsidR="00E26BFA" w:rsidRDefault="00E26BFA" w:rsidP="005650E3">
      <w:pPr>
        <w:ind w:left="-1260"/>
      </w:pPr>
    </w:p>
    <w:p w14:paraId="20F000FB" w14:textId="77777777" w:rsidR="00E26BFA" w:rsidRDefault="00E26BFA" w:rsidP="005650E3">
      <w:pPr>
        <w:ind w:left="-1260"/>
      </w:pPr>
    </w:p>
    <w:p w14:paraId="32624E90" w14:textId="77777777" w:rsidR="00E26BFA" w:rsidRDefault="00E26BFA" w:rsidP="005650E3">
      <w:pPr>
        <w:ind w:left="-1260"/>
      </w:pPr>
    </w:p>
    <w:p w14:paraId="006CB8B1" w14:textId="77777777" w:rsidR="00E26BFA" w:rsidRDefault="00E26BFA" w:rsidP="005650E3">
      <w:pPr>
        <w:ind w:left="-1260"/>
      </w:pPr>
    </w:p>
    <w:p w14:paraId="65F611A0" w14:textId="1D7A8A68" w:rsidR="00E26BFA" w:rsidRDefault="00E26BFA" w:rsidP="005650E3">
      <w:pPr>
        <w:ind w:left="-1260"/>
      </w:pPr>
    </w:p>
    <w:p w14:paraId="2C0F113A" w14:textId="77777777" w:rsidR="00E26BFA" w:rsidRDefault="00E26BFA" w:rsidP="005650E3">
      <w:pPr>
        <w:ind w:left="-1260"/>
      </w:pPr>
    </w:p>
    <w:p w14:paraId="5914A4CD" w14:textId="77777777" w:rsidR="00E26BFA" w:rsidRDefault="00E26BFA" w:rsidP="005650E3">
      <w:pPr>
        <w:ind w:left="-1260"/>
      </w:pPr>
    </w:p>
    <w:p w14:paraId="0803384C" w14:textId="77777777" w:rsidR="00E26BFA" w:rsidRDefault="00E26BFA" w:rsidP="005650E3">
      <w:pPr>
        <w:ind w:left="-1260"/>
      </w:pPr>
    </w:p>
    <w:p w14:paraId="7E937DB1" w14:textId="77777777" w:rsidR="00E26BFA" w:rsidRDefault="00E26BFA" w:rsidP="005650E3">
      <w:pPr>
        <w:ind w:left="-1260"/>
      </w:pPr>
    </w:p>
    <w:p w14:paraId="7B49F771" w14:textId="77777777" w:rsidR="00E26BFA" w:rsidRDefault="00E26BFA" w:rsidP="005650E3">
      <w:pPr>
        <w:ind w:left="-1260"/>
      </w:pPr>
    </w:p>
    <w:p w14:paraId="5FA6ABE6" w14:textId="77777777" w:rsidR="00E26BFA" w:rsidRDefault="00E26BFA" w:rsidP="005650E3">
      <w:pPr>
        <w:ind w:left="-1260"/>
      </w:pPr>
    </w:p>
    <w:p w14:paraId="181D8E85" w14:textId="77777777" w:rsidR="00E26BFA" w:rsidRDefault="00E26BFA" w:rsidP="005650E3">
      <w:pPr>
        <w:ind w:left="-1260"/>
      </w:pPr>
      <w:r>
        <w:br w:type="page"/>
      </w:r>
    </w:p>
    <w:p w14:paraId="40F13060" w14:textId="5C4722DD" w:rsidR="00E26BFA" w:rsidRDefault="00E26BFA" w:rsidP="00E66821">
      <w:pPr>
        <w:ind w:left="-720"/>
      </w:pPr>
      <w:r>
        <w:lastRenderedPageBreak/>
        <w:t xml:space="preserve">Table 6. GBK abundance indicators: </w:t>
      </w:r>
      <w:r w:rsidR="0004767E">
        <w:t>trawl survey</w:t>
      </w:r>
      <w:r>
        <w:t xml:space="preserve"> encounter rate.</w:t>
      </w:r>
    </w:p>
    <w:p w14:paraId="7FD9A538" w14:textId="104003DF" w:rsidR="00E26BFA" w:rsidRDefault="00101971" w:rsidP="005650E3">
      <w:pPr>
        <w:ind w:left="-1260"/>
        <w:jc w:val="center"/>
      </w:pPr>
      <w:r w:rsidRPr="00101971">
        <w:rPr>
          <w:noProof/>
        </w:rPr>
        <w:drawing>
          <wp:inline distT="0" distB="0" distL="0" distR="0" wp14:anchorId="7BB185C3" wp14:editId="0ABED8EF">
            <wp:extent cx="1422603" cy="6949440"/>
            <wp:effectExtent l="0" t="0" r="635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2603" cy="6949440"/>
                    </a:xfrm>
                    <a:prstGeom prst="rect">
                      <a:avLst/>
                    </a:prstGeom>
                    <a:noFill/>
                    <a:ln>
                      <a:noFill/>
                    </a:ln>
                  </pic:spPr>
                </pic:pic>
              </a:graphicData>
            </a:graphic>
          </wp:inline>
        </w:drawing>
      </w:r>
      <w:r w:rsidR="00B36EA9">
        <w:rPr>
          <w:noProof/>
        </w:rPr>
        <w:drawing>
          <wp:anchor distT="0" distB="0" distL="114300" distR="114300" simplePos="0" relativeHeight="251701248" behindDoc="0" locked="0" layoutInCell="1" allowOverlap="1" wp14:anchorId="16761781" wp14:editId="0722BDA7">
            <wp:simplePos x="0" y="0"/>
            <wp:positionH relativeFrom="column">
              <wp:posOffset>2396490</wp:posOffset>
            </wp:positionH>
            <wp:positionV relativeFrom="paragraph">
              <wp:posOffset>9525</wp:posOffset>
            </wp:positionV>
            <wp:extent cx="4224528" cy="1206859"/>
            <wp:effectExtent l="0" t="0" r="508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24528" cy="1206859"/>
                    </a:xfrm>
                    <a:prstGeom prst="rect">
                      <a:avLst/>
                    </a:prstGeom>
                    <a:noFill/>
                    <a:ln>
                      <a:noFill/>
                    </a:ln>
                  </pic:spPr>
                </pic:pic>
              </a:graphicData>
            </a:graphic>
          </wp:anchor>
        </w:drawing>
      </w:r>
    </w:p>
    <w:p w14:paraId="5BA44715" w14:textId="77777777" w:rsidR="00E26BFA" w:rsidRDefault="00E26BFA" w:rsidP="005650E3">
      <w:pPr>
        <w:ind w:left="-1260"/>
      </w:pPr>
    </w:p>
    <w:p w14:paraId="75A0A3FB" w14:textId="77777777" w:rsidR="00E26BFA" w:rsidRDefault="00E26BFA" w:rsidP="000E042A"/>
    <w:p w14:paraId="2EBFBC2F" w14:textId="77777777" w:rsidR="005650E3" w:rsidRDefault="005650E3" w:rsidP="005650E3">
      <w:pPr>
        <w:ind w:left="-1260"/>
      </w:pPr>
    </w:p>
    <w:p w14:paraId="0CA3356A" w14:textId="77777777" w:rsidR="00E26BFA" w:rsidRDefault="00E26BFA" w:rsidP="00E66821">
      <w:pPr>
        <w:ind w:left="-720"/>
      </w:pPr>
      <w:r>
        <w:t xml:space="preserve">Figure 6. GBK abundance indicators: </w:t>
      </w:r>
      <w:r w:rsidR="0004767E">
        <w:t xml:space="preserve">trawl </w:t>
      </w:r>
      <w:r>
        <w:t>survey encounter rate.</w:t>
      </w:r>
    </w:p>
    <w:p w14:paraId="6C44CAEB" w14:textId="77777777" w:rsidR="00E26BFA" w:rsidRDefault="00E26BFA" w:rsidP="005650E3">
      <w:pPr>
        <w:ind w:left="-1260"/>
      </w:pPr>
    </w:p>
    <w:p w14:paraId="2629880B" w14:textId="77777777" w:rsidR="00E26BFA" w:rsidRDefault="00E26BFA" w:rsidP="005650E3">
      <w:pPr>
        <w:ind w:left="-1260"/>
      </w:pPr>
    </w:p>
    <w:p w14:paraId="2254CC6A" w14:textId="77777777" w:rsidR="00E26BFA" w:rsidRDefault="00E26BFA" w:rsidP="005650E3">
      <w:pPr>
        <w:ind w:left="-1260"/>
      </w:pPr>
    </w:p>
    <w:p w14:paraId="2A32BDC0" w14:textId="77777777" w:rsidR="00E26BFA" w:rsidRDefault="00E26BFA" w:rsidP="005650E3">
      <w:pPr>
        <w:ind w:left="-1260"/>
      </w:pPr>
    </w:p>
    <w:p w14:paraId="77A62DE9" w14:textId="7B62F346" w:rsidR="00E26BFA" w:rsidRDefault="00E26BFA" w:rsidP="005650E3">
      <w:pPr>
        <w:ind w:left="-1260"/>
      </w:pPr>
    </w:p>
    <w:p w14:paraId="3D3C4891" w14:textId="77777777" w:rsidR="00E26BFA" w:rsidRDefault="00E26BFA" w:rsidP="005650E3">
      <w:pPr>
        <w:ind w:left="-1260"/>
      </w:pPr>
    </w:p>
    <w:p w14:paraId="4CB8C581" w14:textId="77777777" w:rsidR="00E26BFA" w:rsidRDefault="00E26BFA" w:rsidP="005650E3">
      <w:pPr>
        <w:ind w:left="-1260"/>
      </w:pPr>
    </w:p>
    <w:p w14:paraId="677DD61B" w14:textId="77777777" w:rsidR="00E26BFA" w:rsidRDefault="00E26BFA" w:rsidP="005650E3">
      <w:pPr>
        <w:ind w:left="-1260"/>
      </w:pPr>
    </w:p>
    <w:p w14:paraId="618BA764" w14:textId="77777777" w:rsidR="00E26BFA" w:rsidRDefault="00E26BFA" w:rsidP="005650E3">
      <w:pPr>
        <w:ind w:left="-1260"/>
      </w:pPr>
    </w:p>
    <w:p w14:paraId="45A1A283" w14:textId="77777777" w:rsidR="00E26BFA" w:rsidRDefault="00E26BFA" w:rsidP="005650E3">
      <w:pPr>
        <w:ind w:left="-1260"/>
      </w:pPr>
    </w:p>
    <w:p w14:paraId="64E446BE" w14:textId="77777777" w:rsidR="00E26BFA" w:rsidRDefault="00E26BFA" w:rsidP="005650E3">
      <w:pPr>
        <w:ind w:left="-1260"/>
      </w:pPr>
      <w:r>
        <w:br w:type="page"/>
      </w:r>
    </w:p>
    <w:p w14:paraId="247AC7FC" w14:textId="34E9FA74" w:rsidR="00E26BFA" w:rsidRDefault="00E26BFA" w:rsidP="00E66821">
      <w:pPr>
        <w:ind w:left="-810"/>
        <w:jc w:val="both"/>
      </w:pPr>
      <w:r>
        <w:lastRenderedPageBreak/>
        <w:t>Table 7. SNE abundance indicators: YOY indices.</w:t>
      </w:r>
    </w:p>
    <w:p w14:paraId="1556C3AD" w14:textId="639986A3" w:rsidR="00E26BFA" w:rsidRDefault="00936E7B" w:rsidP="005650E3">
      <w:pPr>
        <w:ind w:left="-1260"/>
        <w:jc w:val="center"/>
      </w:pPr>
      <w:r>
        <w:rPr>
          <w:noProof/>
        </w:rPr>
        <w:drawing>
          <wp:anchor distT="0" distB="0" distL="114300" distR="114300" simplePos="0" relativeHeight="251704320" behindDoc="0" locked="0" layoutInCell="1" allowOverlap="1" wp14:anchorId="78DD2556" wp14:editId="67A7852B">
            <wp:simplePos x="0" y="0"/>
            <wp:positionH relativeFrom="column">
              <wp:posOffset>2382149</wp:posOffset>
            </wp:positionH>
            <wp:positionV relativeFrom="paragraph">
              <wp:posOffset>174097</wp:posOffset>
            </wp:positionV>
            <wp:extent cx="4224319" cy="301752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24319" cy="3017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70CE" w:rsidRPr="001570CE">
        <w:rPr>
          <w:noProof/>
        </w:rPr>
        <w:drawing>
          <wp:inline distT="0" distB="0" distL="0" distR="0" wp14:anchorId="3285F78F" wp14:editId="5FEAC596">
            <wp:extent cx="2252524" cy="6949440"/>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52524" cy="6949440"/>
                    </a:xfrm>
                    <a:prstGeom prst="rect">
                      <a:avLst/>
                    </a:prstGeom>
                    <a:noFill/>
                    <a:ln>
                      <a:noFill/>
                    </a:ln>
                  </pic:spPr>
                </pic:pic>
              </a:graphicData>
            </a:graphic>
          </wp:inline>
        </w:drawing>
      </w:r>
    </w:p>
    <w:p w14:paraId="3C9D6F02" w14:textId="77777777" w:rsidR="00E26BFA" w:rsidRDefault="00E26BFA" w:rsidP="005650E3">
      <w:pPr>
        <w:ind w:left="-1260"/>
      </w:pPr>
    </w:p>
    <w:p w14:paraId="7EB86B2D" w14:textId="0F542B13" w:rsidR="00E26BFA" w:rsidRDefault="00E26BFA" w:rsidP="005650E3">
      <w:pPr>
        <w:ind w:left="-1260"/>
      </w:pPr>
    </w:p>
    <w:p w14:paraId="740D7C3D" w14:textId="77777777" w:rsidR="00E26BFA" w:rsidRDefault="00E26BFA" w:rsidP="000E042A"/>
    <w:p w14:paraId="44643203" w14:textId="77777777" w:rsidR="00133A47" w:rsidRDefault="00133A47" w:rsidP="005650E3">
      <w:pPr>
        <w:ind w:left="-1260"/>
      </w:pPr>
    </w:p>
    <w:p w14:paraId="52DF6EB0" w14:textId="536020DF" w:rsidR="00E26BFA" w:rsidRDefault="00E26BFA" w:rsidP="00E66821">
      <w:pPr>
        <w:ind w:left="-720"/>
      </w:pPr>
      <w:r>
        <w:t>Figure 7. SNE abundance indicators: YOY indices.</w:t>
      </w:r>
      <w:r w:rsidR="00936E7B">
        <w:t xml:space="preserve"> </w:t>
      </w:r>
      <w:r w:rsidR="00936E7B" w:rsidRPr="00937D1C">
        <w:rPr>
          <w:b/>
          <w:bCs/>
          <w:i/>
          <w:iCs/>
        </w:rPr>
        <w:t>Asterisks indicate years with survey changes.</w:t>
      </w:r>
    </w:p>
    <w:p w14:paraId="60A6285B" w14:textId="77777777" w:rsidR="00E26BFA" w:rsidRDefault="00E26BFA" w:rsidP="005650E3">
      <w:pPr>
        <w:ind w:left="-1260"/>
      </w:pPr>
    </w:p>
    <w:p w14:paraId="616723C4" w14:textId="69318E1E" w:rsidR="00E26BFA" w:rsidRDefault="00E26BFA" w:rsidP="005650E3">
      <w:pPr>
        <w:ind w:left="-1260"/>
      </w:pPr>
    </w:p>
    <w:p w14:paraId="4CD407F2" w14:textId="77777777" w:rsidR="00E26BFA" w:rsidRDefault="00E26BFA" w:rsidP="005650E3">
      <w:pPr>
        <w:ind w:left="-1260"/>
      </w:pPr>
    </w:p>
    <w:p w14:paraId="7D419E69" w14:textId="0614B612" w:rsidR="00E26BFA" w:rsidRDefault="00E26BFA" w:rsidP="005650E3">
      <w:pPr>
        <w:ind w:left="-1260"/>
      </w:pPr>
    </w:p>
    <w:p w14:paraId="596717A2" w14:textId="77777777" w:rsidR="00E26BFA" w:rsidRDefault="00E26BFA" w:rsidP="005650E3">
      <w:pPr>
        <w:ind w:left="-1260"/>
      </w:pPr>
    </w:p>
    <w:p w14:paraId="6302747F" w14:textId="77777777" w:rsidR="00E26BFA" w:rsidRDefault="00E26BFA" w:rsidP="005650E3">
      <w:pPr>
        <w:ind w:left="-1260"/>
      </w:pPr>
    </w:p>
    <w:p w14:paraId="703C1363" w14:textId="77777777" w:rsidR="00E26BFA" w:rsidRDefault="00E26BFA" w:rsidP="005650E3">
      <w:pPr>
        <w:ind w:left="-1260"/>
      </w:pPr>
    </w:p>
    <w:p w14:paraId="4BC0A258" w14:textId="77777777" w:rsidR="00E26BFA" w:rsidRDefault="00E26BFA" w:rsidP="005650E3">
      <w:pPr>
        <w:ind w:left="-1260"/>
      </w:pPr>
    </w:p>
    <w:p w14:paraId="3820DAAB" w14:textId="77777777" w:rsidR="00E26BFA" w:rsidRDefault="00E26BFA" w:rsidP="005650E3">
      <w:pPr>
        <w:ind w:left="-1260"/>
      </w:pPr>
    </w:p>
    <w:p w14:paraId="5F719DA6" w14:textId="77777777" w:rsidR="00E26BFA" w:rsidRDefault="00E26BFA" w:rsidP="005650E3">
      <w:pPr>
        <w:ind w:left="-1260"/>
      </w:pPr>
    </w:p>
    <w:p w14:paraId="24B9C6BE" w14:textId="77777777" w:rsidR="00E26BFA" w:rsidRDefault="00E26BFA" w:rsidP="005650E3">
      <w:pPr>
        <w:ind w:left="-1260"/>
      </w:pPr>
    </w:p>
    <w:p w14:paraId="060A2DE9" w14:textId="77777777" w:rsidR="00E26BFA" w:rsidRDefault="00E26BFA" w:rsidP="005650E3">
      <w:pPr>
        <w:ind w:left="-1260"/>
      </w:pPr>
    </w:p>
    <w:p w14:paraId="4F8FF0AD" w14:textId="77777777" w:rsidR="00E26BFA" w:rsidRDefault="00E26BFA" w:rsidP="005650E3">
      <w:pPr>
        <w:ind w:left="-1260"/>
      </w:pPr>
    </w:p>
    <w:p w14:paraId="6010FD0E" w14:textId="77777777" w:rsidR="00E26BFA" w:rsidRDefault="00E26BFA" w:rsidP="005650E3">
      <w:pPr>
        <w:ind w:left="-1260"/>
      </w:pPr>
    </w:p>
    <w:p w14:paraId="06C8E49F" w14:textId="77777777" w:rsidR="00E26BFA" w:rsidRDefault="00E26BFA" w:rsidP="005650E3">
      <w:pPr>
        <w:ind w:left="-1260"/>
      </w:pPr>
    </w:p>
    <w:p w14:paraId="63F755C4" w14:textId="77777777" w:rsidR="00E26BFA" w:rsidRDefault="00E26BFA" w:rsidP="005650E3">
      <w:pPr>
        <w:ind w:left="-1260"/>
      </w:pPr>
    </w:p>
    <w:p w14:paraId="22A22E46" w14:textId="77777777" w:rsidR="00E26BFA" w:rsidRDefault="00E26BFA" w:rsidP="005650E3">
      <w:pPr>
        <w:ind w:left="-1260"/>
      </w:pPr>
    </w:p>
    <w:p w14:paraId="42D606C0" w14:textId="77777777" w:rsidR="00E26BFA" w:rsidRDefault="00E26BFA" w:rsidP="005650E3">
      <w:pPr>
        <w:ind w:left="-1260"/>
      </w:pPr>
    </w:p>
    <w:p w14:paraId="27CDCCFE" w14:textId="77777777" w:rsidR="00E26BFA" w:rsidRDefault="00E26BFA" w:rsidP="005650E3">
      <w:pPr>
        <w:ind w:left="-1260"/>
      </w:pPr>
    </w:p>
    <w:p w14:paraId="1D3DEC90" w14:textId="77777777" w:rsidR="00E26BFA" w:rsidRDefault="00E26BFA" w:rsidP="005650E3">
      <w:pPr>
        <w:ind w:left="-1260"/>
      </w:pPr>
    </w:p>
    <w:p w14:paraId="6BA9244E" w14:textId="77777777" w:rsidR="00E26BFA" w:rsidRDefault="00E26BFA" w:rsidP="005650E3">
      <w:pPr>
        <w:ind w:left="-1260"/>
      </w:pPr>
    </w:p>
    <w:p w14:paraId="52E2B5ED" w14:textId="77777777" w:rsidR="00E26BFA" w:rsidRDefault="00E26BFA" w:rsidP="005650E3">
      <w:pPr>
        <w:ind w:left="-1260"/>
      </w:pPr>
      <w:r>
        <w:br w:type="page"/>
      </w:r>
    </w:p>
    <w:p w14:paraId="5E6A2D06" w14:textId="76B19423" w:rsidR="00E26BFA" w:rsidRDefault="00E26BFA" w:rsidP="00E66821">
      <w:pPr>
        <w:ind w:left="-810"/>
      </w:pPr>
      <w:r>
        <w:lastRenderedPageBreak/>
        <w:t xml:space="preserve">Table 8. SNE abundance indicators: </w:t>
      </w:r>
      <w:r w:rsidR="0004767E">
        <w:t xml:space="preserve">trawl survey </w:t>
      </w:r>
      <w:r>
        <w:t>recruit abundance.</w:t>
      </w:r>
    </w:p>
    <w:p w14:paraId="2A4E168C" w14:textId="17D401C9" w:rsidR="00E26BFA" w:rsidRDefault="00101971" w:rsidP="005650E3">
      <w:pPr>
        <w:ind w:left="-1260"/>
        <w:jc w:val="center"/>
      </w:pPr>
      <w:r w:rsidRPr="00101971">
        <w:rPr>
          <w:noProof/>
        </w:rPr>
        <w:drawing>
          <wp:inline distT="0" distB="0" distL="0" distR="0" wp14:anchorId="61788743" wp14:editId="7A2C9C52">
            <wp:extent cx="3575963" cy="6675120"/>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75963" cy="6675120"/>
                    </a:xfrm>
                    <a:prstGeom prst="rect">
                      <a:avLst/>
                    </a:prstGeom>
                    <a:noFill/>
                    <a:ln>
                      <a:noFill/>
                    </a:ln>
                  </pic:spPr>
                </pic:pic>
              </a:graphicData>
            </a:graphic>
          </wp:inline>
        </w:drawing>
      </w:r>
      <w:r w:rsidR="00BB7568">
        <w:rPr>
          <w:noProof/>
        </w:rPr>
        <w:drawing>
          <wp:anchor distT="0" distB="0" distL="114300" distR="114300" simplePos="0" relativeHeight="251702272" behindDoc="0" locked="0" layoutInCell="1" allowOverlap="1" wp14:anchorId="2ADEE36E" wp14:editId="236B4375">
            <wp:simplePos x="0" y="0"/>
            <wp:positionH relativeFrom="column">
              <wp:posOffset>2776855</wp:posOffset>
            </wp:positionH>
            <wp:positionV relativeFrom="paragraph">
              <wp:posOffset>9525</wp:posOffset>
            </wp:positionV>
            <wp:extent cx="3986784" cy="370229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86784" cy="3702295"/>
                    </a:xfrm>
                    <a:prstGeom prst="rect">
                      <a:avLst/>
                    </a:prstGeom>
                    <a:noFill/>
                    <a:ln>
                      <a:noFill/>
                    </a:ln>
                  </pic:spPr>
                </pic:pic>
              </a:graphicData>
            </a:graphic>
          </wp:anchor>
        </w:drawing>
      </w:r>
    </w:p>
    <w:p w14:paraId="42463C68" w14:textId="714B273D" w:rsidR="00E26BFA" w:rsidRDefault="00E26BFA" w:rsidP="000E042A"/>
    <w:p w14:paraId="1B884A02" w14:textId="77777777" w:rsidR="00E26BFA" w:rsidRDefault="00E26BFA" w:rsidP="005650E3">
      <w:pPr>
        <w:ind w:left="-1260"/>
      </w:pPr>
    </w:p>
    <w:p w14:paraId="568BFB9A" w14:textId="77777777" w:rsidR="00E26BFA" w:rsidRDefault="00E26BFA" w:rsidP="005650E3">
      <w:pPr>
        <w:ind w:left="-1260"/>
      </w:pPr>
    </w:p>
    <w:p w14:paraId="53402AB8" w14:textId="77777777" w:rsidR="00E26BFA" w:rsidRDefault="00E26BFA" w:rsidP="005650E3">
      <w:pPr>
        <w:ind w:left="-1260"/>
      </w:pPr>
    </w:p>
    <w:p w14:paraId="5FB3C4A3" w14:textId="77777777" w:rsidR="00E26BFA" w:rsidRDefault="00E26BFA" w:rsidP="00E66821">
      <w:pPr>
        <w:ind w:left="-360"/>
      </w:pPr>
      <w:r>
        <w:t xml:space="preserve">Figure 8. SNE abundance indicators: </w:t>
      </w:r>
      <w:r w:rsidR="0004767E">
        <w:t xml:space="preserve">trawl survey </w:t>
      </w:r>
      <w:r>
        <w:t>recruit abundance.</w:t>
      </w:r>
    </w:p>
    <w:p w14:paraId="0E8B7B5B" w14:textId="77777777" w:rsidR="00E26BFA" w:rsidRDefault="00E26BFA" w:rsidP="005650E3">
      <w:pPr>
        <w:ind w:left="-1260"/>
      </w:pPr>
    </w:p>
    <w:p w14:paraId="1808193E" w14:textId="77777777" w:rsidR="00E26BFA" w:rsidRDefault="00E26BFA" w:rsidP="005650E3">
      <w:pPr>
        <w:ind w:left="-1260"/>
      </w:pPr>
    </w:p>
    <w:p w14:paraId="09BD286F" w14:textId="0827816C" w:rsidR="00E26BFA" w:rsidRDefault="00E26BFA" w:rsidP="005650E3">
      <w:pPr>
        <w:ind w:left="-1260"/>
      </w:pPr>
    </w:p>
    <w:p w14:paraId="38C4D3AF" w14:textId="77777777" w:rsidR="00E26BFA" w:rsidRDefault="00E26BFA" w:rsidP="005650E3">
      <w:pPr>
        <w:ind w:left="-1260"/>
      </w:pPr>
    </w:p>
    <w:p w14:paraId="71F9C49A" w14:textId="77777777" w:rsidR="00E26BFA" w:rsidRDefault="00E26BFA" w:rsidP="005650E3">
      <w:pPr>
        <w:ind w:left="-1260"/>
      </w:pPr>
    </w:p>
    <w:p w14:paraId="15F83498" w14:textId="77777777" w:rsidR="00E26BFA" w:rsidRDefault="00E26BFA" w:rsidP="005650E3">
      <w:pPr>
        <w:ind w:left="-1260"/>
      </w:pPr>
    </w:p>
    <w:p w14:paraId="6E066D61" w14:textId="2EF7E3FA" w:rsidR="00E26BFA" w:rsidRDefault="00E26BFA" w:rsidP="005650E3">
      <w:pPr>
        <w:ind w:left="-1260"/>
      </w:pPr>
    </w:p>
    <w:p w14:paraId="079F0AFE" w14:textId="77777777" w:rsidR="00E26BFA" w:rsidRDefault="00E26BFA" w:rsidP="005650E3">
      <w:pPr>
        <w:ind w:left="-1260"/>
      </w:pPr>
    </w:p>
    <w:p w14:paraId="7B756359" w14:textId="77777777" w:rsidR="00E26BFA" w:rsidRDefault="00E26BFA" w:rsidP="005650E3">
      <w:pPr>
        <w:ind w:left="-1260"/>
      </w:pPr>
    </w:p>
    <w:p w14:paraId="61714C8F" w14:textId="77777777" w:rsidR="00E26BFA" w:rsidRDefault="00E26BFA" w:rsidP="005650E3">
      <w:pPr>
        <w:ind w:left="-1260"/>
      </w:pPr>
    </w:p>
    <w:p w14:paraId="5292F446" w14:textId="77777777" w:rsidR="00E26BFA" w:rsidRDefault="00E26BFA" w:rsidP="005650E3">
      <w:pPr>
        <w:ind w:left="-1260"/>
      </w:pPr>
    </w:p>
    <w:p w14:paraId="6AB1F19A" w14:textId="77777777" w:rsidR="00E26BFA" w:rsidRDefault="00E26BFA" w:rsidP="005650E3">
      <w:pPr>
        <w:ind w:left="-1260"/>
      </w:pPr>
    </w:p>
    <w:p w14:paraId="478E886C" w14:textId="77777777" w:rsidR="00E26BFA" w:rsidRDefault="00E26BFA" w:rsidP="005650E3">
      <w:pPr>
        <w:ind w:left="-1260"/>
      </w:pPr>
    </w:p>
    <w:p w14:paraId="42146B27" w14:textId="77777777" w:rsidR="00E26BFA" w:rsidRDefault="00E26BFA" w:rsidP="005650E3">
      <w:pPr>
        <w:ind w:left="-1260"/>
      </w:pPr>
    </w:p>
    <w:p w14:paraId="245FA1CB" w14:textId="77777777" w:rsidR="00E26BFA" w:rsidRDefault="00E26BFA" w:rsidP="005650E3">
      <w:pPr>
        <w:ind w:left="-1260"/>
      </w:pPr>
    </w:p>
    <w:p w14:paraId="03CEAE6F" w14:textId="77777777" w:rsidR="00E26BFA" w:rsidRDefault="00E26BFA" w:rsidP="005650E3">
      <w:pPr>
        <w:ind w:left="-1260"/>
      </w:pPr>
    </w:p>
    <w:p w14:paraId="2B0688F4" w14:textId="77777777" w:rsidR="00E26BFA" w:rsidRDefault="00E26BFA" w:rsidP="005650E3">
      <w:pPr>
        <w:ind w:left="-1260"/>
      </w:pPr>
    </w:p>
    <w:p w14:paraId="34C0CE0F" w14:textId="77777777" w:rsidR="00E26BFA" w:rsidRDefault="00E26BFA" w:rsidP="005650E3">
      <w:pPr>
        <w:ind w:left="-1260"/>
      </w:pPr>
    </w:p>
    <w:p w14:paraId="63ADF1FC" w14:textId="77777777" w:rsidR="00E26BFA" w:rsidRDefault="00E26BFA" w:rsidP="005650E3">
      <w:pPr>
        <w:ind w:left="-1260"/>
      </w:pPr>
    </w:p>
    <w:p w14:paraId="232936E7" w14:textId="77777777" w:rsidR="00E26BFA" w:rsidRDefault="00E26BFA" w:rsidP="005650E3">
      <w:pPr>
        <w:ind w:left="-1260"/>
      </w:pPr>
    </w:p>
    <w:p w14:paraId="7F2BF409" w14:textId="77777777" w:rsidR="00E26BFA" w:rsidRDefault="00E26BFA" w:rsidP="005650E3">
      <w:pPr>
        <w:ind w:left="-1260"/>
      </w:pPr>
    </w:p>
    <w:p w14:paraId="543DFF58" w14:textId="77777777" w:rsidR="00E26BFA" w:rsidRDefault="00E26BFA" w:rsidP="005650E3">
      <w:pPr>
        <w:ind w:left="-1260"/>
      </w:pPr>
    </w:p>
    <w:p w14:paraId="6979B965" w14:textId="77777777" w:rsidR="00E26BFA" w:rsidRDefault="00E26BFA" w:rsidP="005650E3">
      <w:pPr>
        <w:ind w:left="-1260"/>
      </w:pPr>
    </w:p>
    <w:p w14:paraId="7DCA3D24" w14:textId="77777777" w:rsidR="00E26BFA" w:rsidRDefault="00E26BFA" w:rsidP="005650E3">
      <w:pPr>
        <w:ind w:left="-1260"/>
      </w:pPr>
    </w:p>
    <w:p w14:paraId="52988C08" w14:textId="77777777" w:rsidR="00E26BFA" w:rsidRDefault="00E26BFA" w:rsidP="005650E3">
      <w:pPr>
        <w:ind w:left="-1260"/>
      </w:pPr>
    </w:p>
    <w:p w14:paraId="4140F5C8" w14:textId="77777777" w:rsidR="00E26BFA" w:rsidRDefault="00E26BFA" w:rsidP="005650E3">
      <w:pPr>
        <w:ind w:left="-1260"/>
      </w:pPr>
    </w:p>
    <w:p w14:paraId="7421E28E" w14:textId="77777777" w:rsidR="00E26BFA" w:rsidRDefault="00E26BFA" w:rsidP="005650E3">
      <w:pPr>
        <w:ind w:left="-1260"/>
      </w:pPr>
    </w:p>
    <w:p w14:paraId="52FD46D0" w14:textId="77777777" w:rsidR="00E26BFA" w:rsidRDefault="00E26BFA" w:rsidP="005650E3">
      <w:pPr>
        <w:ind w:left="-1260"/>
      </w:pPr>
      <w:r>
        <w:br w:type="page"/>
      </w:r>
    </w:p>
    <w:p w14:paraId="599282B0" w14:textId="03617FC2" w:rsidR="00E26BFA" w:rsidRDefault="00E26BFA" w:rsidP="00E66821">
      <w:pPr>
        <w:ind w:left="-900"/>
      </w:pPr>
      <w:r>
        <w:lastRenderedPageBreak/>
        <w:t xml:space="preserve">Table 9. SNE abundance indicators: </w:t>
      </w:r>
      <w:r w:rsidR="0004767E">
        <w:t xml:space="preserve">trawl </w:t>
      </w:r>
      <w:r>
        <w:t>survey encounter rate.</w:t>
      </w:r>
    </w:p>
    <w:p w14:paraId="64AC6DB5" w14:textId="7CC01CE0" w:rsidR="00E26BFA" w:rsidRDefault="00101971" w:rsidP="005650E3">
      <w:pPr>
        <w:ind w:left="-1260"/>
        <w:jc w:val="center"/>
      </w:pPr>
      <w:r w:rsidRPr="00101971">
        <w:rPr>
          <w:noProof/>
        </w:rPr>
        <w:drawing>
          <wp:inline distT="0" distB="0" distL="0" distR="0" wp14:anchorId="3CAC4D2C" wp14:editId="7C3C1755">
            <wp:extent cx="3575963" cy="6675120"/>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75963" cy="6675120"/>
                    </a:xfrm>
                    <a:prstGeom prst="rect">
                      <a:avLst/>
                    </a:prstGeom>
                    <a:noFill/>
                    <a:ln>
                      <a:noFill/>
                    </a:ln>
                  </pic:spPr>
                </pic:pic>
              </a:graphicData>
            </a:graphic>
          </wp:inline>
        </w:drawing>
      </w:r>
      <w:r w:rsidR="00BB7568">
        <w:rPr>
          <w:noProof/>
        </w:rPr>
        <w:drawing>
          <wp:anchor distT="0" distB="0" distL="114300" distR="114300" simplePos="0" relativeHeight="251703296" behindDoc="0" locked="0" layoutInCell="1" allowOverlap="1" wp14:anchorId="72769869" wp14:editId="345C85F5">
            <wp:simplePos x="0" y="0"/>
            <wp:positionH relativeFrom="page">
              <wp:posOffset>3747135</wp:posOffset>
            </wp:positionH>
            <wp:positionV relativeFrom="paragraph">
              <wp:posOffset>9525</wp:posOffset>
            </wp:positionV>
            <wp:extent cx="3986784" cy="370229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986784" cy="3702295"/>
                    </a:xfrm>
                    <a:prstGeom prst="rect">
                      <a:avLst/>
                    </a:prstGeom>
                    <a:noFill/>
                    <a:ln>
                      <a:noFill/>
                    </a:ln>
                  </pic:spPr>
                </pic:pic>
              </a:graphicData>
            </a:graphic>
          </wp:anchor>
        </w:drawing>
      </w:r>
    </w:p>
    <w:p w14:paraId="45F99571" w14:textId="32C38692" w:rsidR="00E26BFA" w:rsidRDefault="00E26BFA" w:rsidP="005650E3">
      <w:pPr>
        <w:ind w:left="-1260"/>
      </w:pPr>
    </w:p>
    <w:p w14:paraId="3DDE9610" w14:textId="6433E321" w:rsidR="00E26BFA" w:rsidRDefault="00E26BFA" w:rsidP="000E042A"/>
    <w:p w14:paraId="1F2FC047" w14:textId="77777777" w:rsidR="00E26BFA" w:rsidRDefault="00E26BFA" w:rsidP="005650E3">
      <w:pPr>
        <w:ind w:left="-1260"/>
      </w:pPr>
    </w:p>
    <w:p w14:paraId="05F01CD1" w14:textId="77777777" w:rsidR="005650E3" w:rsidRDefault="005650E3" w:rsidP="005650E3">
      <w:pPr>
        <w:ind w:left="-1260"/>
      </w:pPr>
    </w:p>
    <w:p w14:paraId="678E3A2B" w14:textId="77777777" w:rsidR="00E26BFA" w:rsidRDefault="00E26BFA" w:rsidP="00E66821">
      <w:pPr>
        <w:ind w:left="-450"/>
      </w:pPr>
      <w:r>
        <w:t xml:space="preserve">Figure 9. SNE abundance indicators: </w:t>
      </w:r>
      <w:r w:rsidR="0004767E">
        <w:t xml:space="preserve">trawl </w:t>
      </w:r>
      <w:r>
        <w:t>survey encounter rate.</w:t>
      </w:r>
    </w:p>
    <w:p w14:paraId="565A5EF5" w14:textId="77777777" w:rsidR="00E26BFA" w:rsidRDefault="00E26BFA" w:rsidP="005650E3">
      <w:pPr>
        <w:ind w:left="-1260"/>
      </w:pPr>
    </w:p>
    <w:p w14:paraId="63F9C6F3" w14:textId="38775D04" w:rsidR="00E26BFA" w:rsidRDefault="00E26BFA" w:rsidP="005650E3">
      <w:pPr>
        <w:ind w:left="-1260"/>
      </w:pPr>
    </w:p>
    <w:p w14:paraId="00525257" w14:textId="77777777" w:rsidR="00E26BFA" w:rsidRDefault="00E26BFA" w:rsidP="005650E3">
      <w:pPr>
        <w:ind w:left="-1260"/>
      </w:pPr>
    </w:p>
    <w:p w14:paraId="712D82F5" w14:textId="77777777" w:rsidR="00E26BFA" w:rsidRDefault="00E26BFA" w:rsidP="005650E3">
      <w:pPr>
        <w:ind w:left="-1260"/>
      </w:pPr>
    </w:p>
    <w:p w14:paraId="7A05E969" w14:textId="3A9C5D50" w:rsidR="00E26BFA" w:rsidRDefault="00E26BFA" w:rsidP="005650E3">
      <w:pPr>
        <w:ind w:left="-1260"/>
      </w:pPr>
    </w:p>
    <w:p w14:paraId="4FD86BD6" w14:textId="77777777" w:rsidR="00E26BFA" w:rsidRDefault="00E26BFA" w:rsidP="005650E3">
      <w:pPr>
        <w:ind w:left="-1260"/>
      </w:pPr>
    </w:p>
    <w:p w14:paraId="3CADD2F9" w14:textId="77777777" w:rsidR="00E26BFA" w:rsidRDefault="00E26BFA" w:rsidP="005650E3">
      <w:pPr>
        <w:ind w:left="-1260"/>
      </w:pPr>
    </w:p>
    <w:p w14:paraId="73837950" w14:textId="77777777" w:rsidR="00E26BFA" w:rsidRDefault="00E26BFA" w:rsidP="005650E3">
      <w:pPr>
        <w:ind w:left="-1260"/>
      </w:pPr>
    </w:p>
    <w:p w14:paraId="15D1F09F" w14:textId="77777777" w:rsidR="00E26BFA" w:rsidRDefault="00E26BFA" w:rsidP="005650E3">
      <w:pPr>
        <w:ind w:left="-1260"/>
      </w:pPr>
    </w:p>
    <w:p w14:paraId="3208AF4C" w14:textId="77777777" w:rsidR="00E26BFA" w:rsidRDefault="00E26BFA" w:rsidP="005650E3">
      <w:pPr>
        <w:ind w:left="-1260"/>
      </w:pPr>
    </w:p>
    <w:p w14:paraId="1239BE8B" w14:textId="77777777" w:rsidR="00E26BFA" w:rsidRDefault="00E26BFA" w:rsidP="005650E3">
      <w:pPr>
        <w:ind w:left="-1260"/>
      </w:pPr>
    </w:p>
    <w:p w14:paraId="4C4F9C5C" w14:textId="77777777" w:rsidR="00E26BFA" w:rsidRDefault="00E26BFA" w:rsidP="005650E3">
      <w:pPr>
        <w:ind w:left="-1260"/>
      </w:pPr>
    </w:p>
    <w:p w14:paraId="252E424D" w14:textId="77777777" w:rsidR="00E26BFA" w:rsidRDefault="00E26BFA" w:rsidP="005650E3">
      <w:pPr>
        <w:ind w:left="-1260"/>
      </w:pPr>
    </w:p>
    <w:p w14:paraId="7AB24562" w14:textId="77777777" w:rsidR="00E26BFA" w:rsidRDefault="00E26BFA" w:rsidP="005650E3">
      <w:pPr>
        <w:ind w:left="-1260"/>
      </w:pPr>
    </w:p>
    <w:p w14:paraId="241CB066" w14:textId="77777777" w:rsidR="00E26BFA" w:rsidRDefault="00E26BFA" w:rsidP="005650E3">
      <w:pPr>
        <w:ind w:left="-1260"/>
      </w:pPr>
    </w:p>
    <w:p w14:paraId="7BA7ECD4" w14:textId="77777777" w:rsidR="00E26BFA" w:rsidRDefault="00E26BFA" w:rsidP="005650E3">
      <w:pPr>
        <w:ind w:left="-1260"/>
      </w:pPr>
    </w:p>
    <w:p w14:paraId="74356E8F" w14:textId="77777777" w:rsidR="00E26BFA" w:rsidRDefault="00E26BFA" w:rsidP="005650E3">
      <w:pPr>
        <w:ind w:left="-1260"/>
      </w:pPr>
    </w:p>
    <w:p w14:paraId="40DF535E" w14:textId="77777777" w:rsidR="00E26BFA" w:rsidRDefault="00E26BFA" w:rsidP="005650E3">
      <w:pPr>
        <w:ind w:left="-1260"/>
      </w:pPr>
    </w:p>
    <w:p w14:paraId="528E1AE2" w14:textId="77777777" w:rsidR="00E26BFA" w:rsidRDefault="00E26BFA" w:rsidP="005650E3">
      <w:pPr>
        <w:ind w:left="-1260"/>
      </w:pPr>
    </w:p>
    <w:p w14:paraId="30AA32DC" w14:textId="77777777" w:rsidR="00E26BFA" w:rsidRDefault="00E26BFA" w:rsidP="005650E3">
      <w:pPr>
        <w:ind w:left="-1260"/>
      </w:pPr>
    </w:p>
    <w:p w14:paraId="0C6DE4D6" w14:textId="77777777" w:rsidR="00E26BFA" w:rsidRDefault="00E26BFA" w:rsidP="005650E3">
      <w:pPr>
        <w:ind w:left="-1260"/>
      </w:pPr>
    </w:p>
    <w:p w14:paraId="6EF0A115" w14:textId="77777777" w:rsidR="00E26BFA" w:rsidRDefault="00E26BFA" w:rsidP="005650E3">
      <w:pPr>
        <w:ind w:left="-1260"/>
      </w:pPr>
    </w:p>
    <w:p w14:paraId="20609D70" w14:textId="77777777" w:rsidR="00E26BFA" w:rsidRDefault="00E26BFA" w:rsidP="005650E3">
      <w:pPr>
        <w:ind w:left="-1260"/>
      </w:pPr>
    </w:p>
    <w:p w14:paraId="3584A070" w14:textId="77777777" w:rsidR="00E26BFA" w:rsidRDefault="00E26BFA" w:rsidP="005650E3">
      <w:pPr>
        <w:ind w:left="-1260"/>
      </w:pPr>
    </w:p>
    <w:p w14:paraId="3C0BBEDB" w14:textId="77777777" w:rsidR="00E26BFA" w:rsidRDefault="00E26BFA" w:rsidP="005650E3">
      <w:pPr>
        <w:ind w:left="-1260"/>
      </w:pPr>
    </w:p>
    <w:p w14:paraId="29A5AD0E" w14:textId="77777777" w:rsidR="00E26BFA" w:rsidRDefault="00E26BFA" w:rsidP="005650E3">
      <w:pPr>
        <w:ind w:left="-1260"/>
      </w:pPr>
      <w:r>
        <w:br w:type="page"/>
      </w:r>
    </w:p>
    <w:p w14:paraId="53ECAF3A" w14:textId="1751462C" w:rsidR="00E26BFA" w:rsidRDefault="00E26BFA" w:rsidP="00E66821">
      <w:pPr>
        <w:ind w:left="-900"/>
      </w:pPr>
      <w:r>
        <w:lastRenderedPageBreak/>
        <w:t>Table 10</w:t>
      </w:r>
      <w:r w:rsidRPr="009A625A">
        <w:t xml:space="preserve">. SNE abundance indicators: ventless trap </w:t>
      </w:r>
      <w:r w:rsidR="0004767E">
        <w:t xml:space="preserve">survey </w:t>
      </w:r>
      <w:r w:rsidRPr="009A625A">
        <w:t>abundance.</w:t>
      </w:r>
    </w:p>
    <w:p w14:paraId="3A0B264D" w14:textId="6393E351" w:rsidR="00E26BFA" w:rsidRPr="009A625A" w:rsidRDefault="001570CE" w:rsidP="005650E3">
      <w:pPr>
        <w:ind w:left="-1260"/>
        <w:jc w:val="center"/>
      </w:pPr>
      <w:r w:rsidRPr="001570CE">
        <w:rPr>
          <w:noProof/>
        </w:rPr>
        <w:drawing>
          <wp:inline distT="0" distB="0" distL="0" distR="0" wp14:anchorId="26BAFF6A" wp14:editId="5FE777F4">
            <wp:extent cx="2617674" cy="6949440"/>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17674" cy="6949440"/>
                    </a:xfrm>
                    <a:prstGeom prst="rect">
                      <a:avLst/>
                    </a:prstGeom>
                    <a:noFill/>
                    <a:ln>
                      <a:noFill/>
                    </a:ln>
                  </pic:spPr>
                </pic:pic>
              </a:graphicData>
            </a:graphic>
          </wp:inline>
        </w:drawing>
      </w:r>
      <w:r w:rsidR="0019270E">
        <w:rPr>
          <w:noProof/>
        </w:rPr>
        <w:drawing>
          <wp:anchor distT="0" distB="0" distL="114300" distR="114300" simplePos="0" relativeHeight="251697152" behindDoc="0" locked="0" layoutInCell="1" allowOverlap="1" wp14:anchorId="7D008D85" wp14:editId="06442F62">
            <wp:simplePos x="0" y="0"/>
            <wp:positionH relativeFrom="column">
              <wp:posOffset>2389082</wp:posOffset>
            </wp:positionH>
            <wp:positionV relativeFrom="paragraph">
              <wp:posOffset>9525</wp:posOffset>
            </wp:positionV>
            <wp:extent cx="4236720" cy="2542032"/>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236720" cy="2542032"/>
                    </a:xfrm>
                    <a:prstGeom prst="rect">
                      <a:avLst/>
                    </a:prstGeom>
                    <a:noFill/>
                    <a:ln>
                      <a:noFill/>
                    </a:ln>
                  </pic:spPr>
                </pic:pic>
              </a:graphicData>
            </a:graphic>
          </wp:anchor>
        </w:drawing>
      </w:r>
    </w:p>
    <w:p w14:paraId="58C936D5" w14:textId="77777777" w:rsidR="00E26BFA" w:rsidRPr="009A625A" w:rsidRDefault="00E26BFA" w:rsidP="005650E3">
      <w:pPr>
        <w:ind w:left="-1260"/>
        <w:jc w:val="center"/>
      </w:pPr>
    </w:p>
    <w:p w14:paraId="6C6EB23F" w14:textId="77777777" w:rsidR="005650E3" w:rsidRDefault="005650E3" w:rsidP="000E042A"/>
    <w:p w14:paraId="6DB9073B" w14:textId="77777777" w:rsidR="005650E3" w:rsidRDefault="005650E3" w:rsidP="005650E3">
      <w:pPr>
        <w:ind w:left="-1260"/>
      </w:pPr>
    </w:p>
    <w:p w14:paraId="6E575572" w14:textId="50D9A3A6" w:rsidR="005650E3" w:rsidRDefault="005650E3" w:rsidP="00E66821">
      <w:pPr>
        <w:ind w:left="-720"/>
      </w:pPr>
      <w:r>
        <w:t>Figure 10</w:t>
      </w:r>
      <w:r w:rsidRPr="009A625A">
        <w:t xml:space="preserve">. SNE abundance indicators: ventless trap </w:t>
      </w:r>
      <w:r w:rsidR="0004767E">
        <w:t xml:space="preserve">survey </w:t>
      </w:r>
      <w:r w:rsidRPr="009A625A">
        <w:t>abundance.</w:t>
      </w:r>
      <w:r w:rsidR="00DE61EC" w:rsidRPr="00DE61EC">
        <w:t xml:space="preserve"> </w:t>
      </w:r>
    </w:p>
    <w:p w14:paraId="2775EFBA" w14:textId="77777777" w:rsidR="005650E3" w:rsidRDefault="005650E3" w:rsidP="005650E3">
      <w:pPr>
        <w:ind w:left="-1260"/>
      </w:pPr>
    </w:p>
    <w:p w14:paraId="727A690A" w14:textId="77777777" w:rsidR="005650E3" w:rsidRDefault="005650E3" w:rsidP="005650E3">
      <w:pPr>
        <w:ind w:left="-1260"/>
      </w:pPr>
    </w:p>
    <w:p w14:paraId="5D1CA6DB" w14:textId="7232E3BE" w:rsidR="005650E3" w:rsidRDefault="005650E3" w:rsidP="005650E3">
      <w:pPr>
        <w:ind w:left="-1260"/>
      </w:pPr>
    </w:p>
    <w:p w14:paraId="2F3A1413" w14:textId="6B39DFB1" w:rsidR="005650E3" w:rsidRDefault="005650E3" w:rsidP="005650E3">
      <w:pPr>
        <w:ind w:left="-1260"/>
      </w:pPr>
    </w:p>
    <w:p w14:paraId="6220E1AF" w14:textId="77777777" w:rsidR="005650E3" w:rsidRDefault="005650E3" w:rsidP="005650E3">
      <w:pPr>
        <w:ind w:left="-1260"/>
      </w:pPr>
    </w:p>
    <w:p w14:paraId="227EED0A" w14:textId="77777777" w:rsidR="005650E3" w:rsidRDefault="005650E3" w:rsidP="005650E3">
      <w:pPr>
        <w:ind w:left="-1260"/>
      </w:pPr>
    </w:p>
    <w:p w14:paraId="7A5852C6" w14:textId="77777777" w:rsidR="005650E3" w:rsidRDefault="005650E3" w:rsidP="005650E3">
      <w:pPr>
        <w:ind w:left="-1260"/>
      </w:pPr>
    </w:p>
    <w:p w14:paraId="296C7456" w14:textId="77777777" w:rsidR="005650E3" w:rsidRDefault="005650E3" w:rsidP="005650E3">
      <w:pPr>
        <w:ind w:left="-1260"/>
      </w:pPr>
    </w:p>
    <w:p w14:paraId="40B7CB34" w14:textId="77777777" w:rsidR="005650E3" w:rsidRDefault="005650E3" w:rsidP="005650E3">
      <w:pPr>
        <w:ind w:left="-1260"/>
      </w:pPr>
    </w:p>
    <w:p w14:paraId="65FB5A10" w14:textId="77777777" w:rsidR="005650E3" w:rsidRDefault="005650E3" w:rsidP="005650E3">
      <w:pPr>
        <w:ind w:left="-1260"/>
      </w:pPr>
    </w:p>
    <w:p w14:paraId="76BAFF49" w14:textId="77777777" w:rsidR="005650E3" w:rsidRDefault="005650E3" w:rsidP="005650E3">
      <w:pPr>
        <w:ind w:left="-1260"/>
      </w:pPr>
    </w:p>
    <w:p w14:paraId="7EE08DCD" w14:textId="23E3F892" w:rsidR="004766F3" w:rsidRDefault="004766F3" w:rsidP="005650E3">
      <w:pPr>
        <w:ind w:left="-1260"/>
      </w:pPr>
    </w:p>
    <w:p w14:paraId="140AE283" w14:textId="77777777" w:rsidR="004766F3" w:rsidRDefault="004766F3" w:rsidP="004766F3">
      <w:pPr>
        <w:sectPr w:rsidR="004766F3" w:rsidSect="00E66821">
          <w:headerReference w:type="first" r:id="rId34"/>
          <w:footerReference w:type="first" r:id="rId35"/>
          <w:pgSz w:w="12240" w:h="15840"/>
          <w:pgMar w:top="1440" w:right="1170" w:bottom="1440" w:left="1530" w:header="720" w:footer="720" w:gutter="0"/>
          <w:cols w:num="2" w:space="1440"/>
          <w:titlePg/>
          <w:docGrid w:linePitch="360"/>
        </w:sectPr>
      </w:pPr>
    </w:p>
    <w:p w14:paraId="0717B71B" w14:textId="77777777" w:rsidR="004766F3" w:rsidRPr="00102AC8" w:rsidRDefault="004766F3" w:rsidP="004766F3">
      <w:pPr>
        <w:rPr>
          <w:b/>
          <w:bCs/>
        </w:rPr>
      </w:pPr>
      <w:r w:rsidRPr="00102AC8">
        <w:rPr>
          <w:b/>
          <w:bCs/>
        </w:rPr>
        <w:lastRenderedPageBreak/>
        <w:t xml:space="preserve">Appendix: Data Update </w:t>
      </w:r>
      <w:r>
        <w:rPr>
          <w:b/>
          <w:bCs/>
        </w:rPr>
        <w:t>Da</w:t>
      </w:r>
      <w:r w:rsidRPr="00102AC8">
        <w:rPr>
          <w:b/>
          <w:bCs/>
        </w:rPr>
        <w:t>ta Changes</w:t>
      </w:r>
    </w:p>
    <w:p w14:paraId="53F6F889" w14:textId="4743EB5F" w:rsidR="001570CE" w:rsidRDefault="001570CE" w:rsidP="004766F3">
      <w:pPr>
        <w:rPr>
          <w:i/>
          <w:iCs/>
          <w:u w:val="single"/>
        </w:rPr>
      </w:pPr>
      <w:r>
        <w:rPr>
          <w:i/>
          <w:iCs/>
          <w:u w:val="single"/>
        </w:rPr>
        <w:t>Rhode Island (2024 Update)</w:t>
      </w:r>
    </w:p>
    <w:p w14:paraId="66987192" w14:textId="5EA584EF" w:rsidR="001570CE" w:rsidRDefault="001570CE" w:rsidP="001570CE">
      <w:r>
        <w:t xml:space="preserve">A slightly more conservative method for identifying traps to exclude from the </w:t>
      </w:r>
      <w:r w:rsidR="0006441A">
        <w:t xml:space="preserve">VTS </w:t>
      </w:r>
      <w:r>
        <w:t>data set was adopted during the 2024 Data Update</w:t>
      </w:r>
      <w:r w:rsidR="0006441A">
        <w:t xml:space="preserve"> (terminal data year of 2023)</w:t>
      </w:r>
      <w:r>
        <w:t>. For example, some traps with a hole in the funnel or side head were excluded whereas they were not in previous years. The table below compares the number of traps retained for index calculation between the 2024 Data Update and 2023 Data Update.</w:t>
      </w:r>
    </w:p>
    <w:tbl>
      <w:tblPr>
        <w:tblW w:w="3720" w:type="dxa"/>
        <w:tblLook w:val="04A0" w:firstRow="1" w:lastRow="0" w:firstColumn="1" w:lastColumn="0" w:noHBand="0" w:noVBand="1"/>
      </w:tblPr>
      <w:tblGrid>
        <w:gridCol w:w="960"/>
        <w:gridCol w:w="1380"/>
        <w:gridCol w:w="1380"/>
      </w:tblGrid>
      <w:tr w:rsidR="001570CE" w:rsidRPr="00986F5B" w14:paraId="79655955" w14:textId="77777777" w:rsidTr="00D40576">
        <w:trPr>
          <w:trHeight w:val="5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9C8EE"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Year</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6AE129A"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2023 Data Update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5F0C6401"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2024 Data Update</w:t>
            </w:r>
          </w:p>
        </w:tc>
      </w:tr>
      <w:tr w:rsidR="001570CE" w:rsidRPr="00986F5B" w14:paraId="05D271D4" w14:textId="77777777" w:rsidTr="00D4057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2107AB"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2006</w:t>
            </w:r>
          </w:p>
        </w:tc>
        <w:tc>
          <w:tcPr>
            <w:tcW w:w="1380" w:type="dxa"/>
            <w:tcBorders>
              <w:top w:val="nil"/>
              <w:left w:val="nil"/>
              <w:bottom w:val="single" w:sz="4" w:space="0" w:color="auto"/>
              <w:right w:val="single" w:sz="4" w:space="0" w:color="auto"/>
            </w:tcBorders>
            <w:shd w:val="clear" w:color="auto" w:fill="auto"/>
            <w:noWrap/>
            <w:vAlign w:val="center"/>
            <w:hideMark/>
          </w:tcPr>
          <w:p w14:paraId="4E2FF347"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 852 </w:t>
            </w:r>
          </w:p>
        </w:tc>
        <w:tc>
          <w:tcPr>
            <w:tcW w:w="1380" w:type="dxa"/>
            <w:tcBorders>
              <w:top w:val="nil"/>
              <w:left w:val="nil"/>
              <w:bottom w:val="single" w:sz="4" w:space="0" w:color="auto"/>
              <w:right w:val="single" w:sz="4" w:space="0" w:color="auto"/>
            </w:tcBorders>
            <w:shd w:val="clear" w:color="auto" w:fill="auto"/>
            <w:noWrap/>
            <w:vAlign w:val="center"/>
            <w:hideMark/>
          </w:tcPr>
          <w:p w14:paraId="2094C190"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 851 </w:t>
            </w:r>
          </w:p>
        </w:tc>
      </w:tr>
      <w:tr w:rsidR="001570CE" w:rsidRPr="00986F5B" w14:paraId="773B1FAF" w14:textId="77777777" w:rsidTr="00D4057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65948D"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2007</w:t>
            </w:r>
          </w:p>
        </w:tc>
        <w:tc>
          <w:tcPr>
            <w:tcW w:w="1380" w:type="dxa"/>
            <w:tcBorders>
              <w:top w:val="nil"/>
              <w:left w:val="nil"/>
              <w:bottom w:val="single" w:sz="4" w:space="0" w:color="auto"/>
              <w:right w:val="single" w:sz="4" w:space="0" w:color="auto"/>
            </w:tcBorders>
            <w:shd w:val="clear" w:color="auto" w:fill="auto"/>
            <w:noWrap/>
            <w:vAlign w:val="center"/>
            <w:hideMark/>
          </w:tcPr>
          <w:p w14:paraId="5500CA73"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848 </w:t>
            </w:r>
          </w:p>
        </w:tc>
        <w:tc>
          <w:tcPr>
            <w:tcW w:w="1380" w:type="dxa"/>
            <w:tcBorders>
              <w:top w:val="nil"/>
              <w:left w:val="nil"/>
              <w:bottom w:val="single" w:sz="4" w:space="0" w:color="auto"/>
              <w:right w:val="single" w:sz="4" w:space="0" w:color="auto"/>
            </w:tcBorders>
            <w:shd w:val="clear" w:color="auto" w:fill="auto"/>
            <w:noWrap/>
            <w:vAlign w:val="center"/>
            <w:hideMark/>
          </w:tcPr>
          <w:p w14:paraId="1A6386E8"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848 </w:t>
            </w:r>
          </w:p>
        </w:tc>
      </w:tr>
      <w:tr w:rsidR="001570CE" w:rsidRPr="00986F5B" w14:paraId="62717515" w14:textId="77777777" w:rsidTr="00D4057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3B7FA0"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2008</w:t>
            </w:r>
          </w:p>
        </w:tc>
        <w:tc>
          <w:tcPr>
            <w:tcW w:w="1380" w:type="dxa"/>
            <w:tcBorders>
              <w:top w:val="nil"/>
              <w:left w:val="nil"/>
              <w:bottom w:val="single" w:sz="4" w:space="0" w:color="auto"/>
              <w:right w:val="single" w:sz="4" w:space="0" w:color="auto"/>
            </w:tcBorders>
            <w:shd w:val="clear" w:color="auto" w:fill="auto"/>
            <w:noWrap/>
            <w:vAlign w:val="center"/>
            <w:hideMark/>
          </w:tcPr>
          <w:p w14:paraId="2F9BEB20"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864 </w:t>
            </w:r>
          </w:p>
        </w:tc>
        <w:tc>
          <w:tcPr>
            <w:tcW w:w="1380" w:type="dxa"/>
            <w:tcBorders>
              <w:top w:val="nil"/>
              <w:left w:val="nil"/>
              <w:bottom w:val="single" w:sz="4" w:space="0" w:color="auto"/>
              <w:right w:val="single" w:sz="4" w:space="0" w:color="auto"/>
            </w:tcBorders>
            <w:shd w:val="clear" w:color="auto" w:fill="auto"/>
            <w:noWrap/>
            <w:vAlign w:val="center"/>
            <w:hideMark/>
          </w:tcPr>
          <w:p w14:paraId="0B9807D7"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864 </w:t>
            </w:r>
          </w:p>
        </w:tc>
      </w:tr>
      <w:tr w:rsidR="001570CE" w:rsidRPr="00986F5B" w14:paraId="363B3DF7" w14:textId="77777777" w:rsidTr="00D4057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A58663"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2009</w:t>
            </w:r>
          </w:p>
        </w:tc>
        <w:tc>
          <w:tcPr>
            <w:tcW w:w="1380" w:type="dxa"/>
            <w:tcBorders>
              <w:top w:val="nil"/>
              <w:left w:val="nil"/>
              <w:bottom w:val="single" w:sz="4" w:space="0" w:color="auto"/>
              <w:right w:val="single" w:sz="4" w:space="0" w:color="auto"/>
            </w:tcBorders>
            <w:shd w:val="clear" w:color="auto" w:fill="auto"/>
            <w:noWrap/>
            <w:vAlign w:val="center"/>
            <w:hideMark/>
          </w:tcPr>
          <w:p w14:paraId="2A21630D"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804 </w:t>
            </w:r>
          </w:p>
        </w:tc>
        <w:tc>
          <w:tcPr>
            <w:tcW w:w="1380" w:type="dxa"/>
            <w:tcBorders>
              <w:top w:val="nil"/>
              <w:left w:val="nil"/>
              <w:bottom w:val="single" w:sz="4" w:space="0" w:color="auto"/>
              <w:right w:val="single" w:sz="4" w:space="0" w:color="auto"/>
            </w:tcBorders>
            <w:shd w:val="clear" w:color="auto" w:fill="auto"/>
            <w:noWrap/>
            <w:vAlign w:val="center"/>
            <w:hideMark/>
          </w:tcPr>
          <w:p w14:paraId="5DE1B074"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804 </w:t>
            </w:r>
          </w:p>
        </w:tc>
      </w:tr>
      <w:tr w:rsidR="001570CE" w:rsidRPr="00986F5B" w14:paraId="70FF1C2C" w14:textId="77777777" w:rsidTr="00D4057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C4EED2"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2010</w:t>
            </w:r>
          </w:p>
        </w:tc>
        <w:tc>
          <w:tcPr>
            <w:tcW w:w="1380" w:type="dxa"/>
            <w:tcBorders>
              <w:top w:val="nil"/>
              <w:left w:val="nil"/>
              <w:bottom w:val="single" w:sz="4" w:space="0" w:color="auto"/>
              <w:right w:val="single" w:sz="4" w:space="0" w:color="auto"/>
            </w:tcBorders>
            <w:shd w:val="clear" w:color="auto" w:fill="auto"/>
            <w:noWrap/>
            <w:vAlign w:val="center"/>
            <w:hideMark/>
          </w:tcPr>
          <w:p w14:paraId="330AA9B5"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858 </w:t>
            </w:r>
          </w:p>
        </w:tc>
        <w:tc>
          <w:tcPr>
            <w:tcW w:w="1380" w:type="dxa"/>
            <w:tcBorders>
              <w:top w:val="nil"/>
              <w:left w:val="nil"/>
              <w:bottom w:val="single" w:sz="4" w:space="0" w:color="auto"/>
              <w:right w:val="single" w:sz="4" w:space="0" w:color="auto"/>
            </w:tcBorders>
            <w:shd w:val="clear" w:color="auto" w:fill="auto"/>
            <w:noWrap/>
            <w:vAlign w:val="center"/>
            <w:hideMark/>
          </w:tcPr>
          <w:p w14:paraId="3B1D602B"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857 </w:t>
            </w:r>
          </w:p>
        </w:tc>
      </w:tr>
      <w:tr w:rsidR="001570CE" w:rsidRPr="00986F5B" w14:paraId="5944788A" w14:textId="77777777" w:rsidTr="00D4057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E8B9ED"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2011</w:t>
            </w:r>
          </w:p>
        </w:tc>
        <w:tc>
          <w:tcPr>
            <w:tcW w:w="1380" w:type="dxa"/>
            <w:tcBorders>
              <w:top w:val="nil"/>
              <w:left w:val="nil"/>
              <w:bottom w:val="single" w:sz="4" w:space="0" w:color="auto"/>
              <w:right w:val="single" w:sz="4" w:space="0" w:color="auto"/>
            </w:tcBorders>
            <w:shd w:val="clear" w:color="auto" w:fill="auto"/>
            <w:noWrap/>
            <w:vAlign w:val="center"/>
            <w:hideMark/>
          </w:tcPr>
          <w:p w14:paraId="4C3168FA"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858 </w:t>
            </w:r>
          </w:p>
        </w:tc>
        <w:tc>
          <w:tcPr>
            <w:tcW w:w="1380" w:type="dxa"/>
            <w:tcBorders>
              <w:top w:val="nil"/>
              <w:left w:val="nil"/>
              <w:bottom w:val="single" w:sz="4" w:space="0" w:color="auto"/>
              <w:right w:val="single" w:sz="4" w:space="0" w:color="auto"/>
            </w:tcBorders>
            <w:shd w:val="clear" w:color="auto" w:fill="auto"/>
            <w:noWrap/>
            <w:vAlign w:val="center"/>
            <w:hideMark/>
          </w:tcPr>
          <w:p w14:paraId="1E951B49"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858 </w:t>
            </w:r>
          </w:p>
        </w:tc>
      </w:tr>
      <w:tr w:rsidR="001570CE" w:rsidRPr="00986F5B" w14:paraId="3D590B30" w14:textId="77777777" w:rsidTr="00D4057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D128BD"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2012</w:t>
            </w:r>
          </w:p>
        </w:tc>
        <w:tc>
          <w:tcPr>
            <w:tcW w:w="1380" w:type="dxa"/>
            <w:tcBorders>
              <w:top w:val="nil"/>
              <w:left w:val="nil"/>
              <w:bottom w:val="single" w:sz="4" w:space="0" w:color="auto"/>
              <w:right w:val="single" w:sz="4" w:space="0" w:color="auto"/>
            </w:tcBorders>
            <w:shd w:val="clear" w:color="auto" w:fill="auto"/>
            <w:noWrap/>
            <w:vAlign w:val="center"/>
            <w:hideMark/>
          </w:tcPr>
          <w:p w14:paraId="1D14B600"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834 </w:t>
            </w:r>
          </w:p>
        </w:tc>
        <w:tc>
          <w:tcPr>
            <w:tcW w:w="1380" w:type="dxa"/>
            <w:tcBorders>
              <w:top w:val="nil"/>
              <w:left w:val="nil"/>
              <w:bottom w:val="single" w:sz="4" w:space="0" w:color="auto"/>
              <w:right w:val="single" w:sz="4" w:space="0" w:color="auto"/>
            </w:tcBorders>
            <w:shd w:val="clear" w:color="auto" w:fill="auto"/>
            <w:noWrap/>
            <w:vAlign w:val="center"/>
            <w:hideMark/>
          </w:tcPr>
          <w:p w14:paraId="3E96E196"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830 </w:t>
            </w:r>
          </w:p>
        </w:tc>
      </w:tr>
      <w:tr w:rsidR="001570CE" w:rsidRPr="00986F5B" w14:paraId="399FABD6" w14:textId="77777777" w:rsidTr="00D4057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0F0628"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2013</w:t>
            </w:r>
          </w:p>
        </w:tc>
        <w:tc>
          <w:tcPr>
            <w:tcW w:w="1380" w:type="dxa"/>
            <w:tcBorders>
              <w:top w:val="nil"/>
              <w:left w:val="nil"/>
              <w:bottom w:val="single" w:sz="4" w:space="0" w:color="auto"/>
              <w:right w:val="single" w:sz="4" w:space="0" w:color="auto"/>
            </w:tcBorders>
            <w:shd w:val="clear" w:color="auto" w:fill="auto"/>
            <w:noWrap/>
            <w:vAlign w:val="center"/>
            <w:hideMark/>
          </w:tcPr>
          <w:p w14:paraId="076BFE95"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839 </w:t>
            </w:r>
          </w:p>
        </w:tc>
        <w:tc>
          <w:tcPr>
            <w:tcW w:w="1380" w:type="dxa"/>
            <w:tcBorders>
              <w:top w:val="nil"/>
              <w:left w:val="nil"/>
              <w:bottom w:val="single" w:sz="4" w:space="0" w:color="auto"/>
              <w:right w:val="single" w:sz="4" w:space="0" w:color="auto"/>
            </w:tcBorders>
            <w:shd w:val="clear" w:color="auto" w:fill="auto"/>
            <w:noWrap/>
            <w:vAlign w:val="center"/>
            <w:hideMark/>
          </w:tcPr>
          <w:p w14:paraId="551249A2"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836 </w:t>
            </w:r>
          </w:p>
        </w:tc>
      </w:tr>
      <w:tr w:rsidR="001570CE" w:rsidRPr="00986F5B" w14:paraId="2D79C776" w14:textId="77777777" w:rsidTr="00D4057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8FFE5E"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2014</w:t>
            </w:r>
          </w:p>
        </w:tc>
        <w:tc>
          <w:tcPr>
            <w:tcW w:w="1380" w:type="dxa"/>
            <w:tcBorders>
              <w:top w:val="nil"/>
              <w:left w:val="nil"/>
              <w:bottom w:val="single" w:sz="4" w:space="0" w:color="auto"/>
              <w:right w:val="single" w:sz="4" w:space="0" w:color="auto"/>
            </w:tcBorders>
            <w:shd w:val="clear" w:color="auto" w:fill="auto"/>
            <w:noWrap/>
            <w:vAlign w:val="center"/>
            <w:hideMark/>
          </w:tcPr>
          <w:p w14:paraId="581E3CE1"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832 </w:t>
            </w:r>
          </w:p>
        </w:tc>
        <w:tc>
          <w:tcPr>
            <w:tcW w:w="1380" w:type="dxa"/>
            <w:tcBorders>
              <w:top w:val="nil"/>
              <w:left w:val="nil"/>
              <w:bottom w:val="single" w:sz="4" w:space="0" w:color="auto"/>
              <w:right w:val="single" w:sz="4" w:space="0" w:color="auto"/>
            </w:tcBorders>
            <w:shd w:val="clear" w:color="auto" w:fill="auto"/>
            <w:noWrap/>
            <w:vAlign w:val="center"/>
            <w:hideMark/>
          </w:tcPr>
          <w:p w14:paraId="1B1270B0"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825 </w:t>
            </w:r>
          </w:p>
        </w:tc>
      </w:tr>
      <w:tr w:rsidR="001570CE" w:rsidRPr="00986F5B" w14:paraId="3689EC2A" w14:textId="77777777" w:rsidTr="00D4057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E5C432"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2015</w:t>
            </w:r>
          </w:p>
        </w:tc>
        <w:tc>
          <w:tcPr>
            <w:tcW w:w="1380" w:type="dxa"/>
            <w:tcBorders>
              <w:top w:val="nil"/>
              <w:left w:val="nil"/>
              <w:bottom w:val="single" w:sz="4" w:space="0" w:color="auto"/>
              <w:right w:val="single" w:sz="4" w:space="0" w:color="auto"/>
            </w:tcBorders>
            <w:shd w:val="clear" w:color="auto" w:fill="auto"/>
            <w:noWrap/>
            <w:vAlign w:val="center"/>
            <w:hideMark/>
          </w:tcPr>
          <w:p w14:paraId="10A49333"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854 </w:t>
            </w:r>
          </w:p>
        </w:tc>
        <w:tc>
          <w:tcPr>
            <w:tcW w:w="1380" w:type="dxa"/>
            <w:tcBorders>
              <w:top w:val="nil"/>
              <w:left w:val="nil"/>
              <w:bottom w:val="single" w:sz="4" w:space="0" w:color="auto"/>
              <w:right w:val="single" w:sz="4" w:space="0" w:color="auto"/>
            </w:tcBorders>
            <w:shd w:val="clear" w:color="auto" w:fill="auto"/>
            <w:noWrap/>
            <w:vAlign w:val="center"/>
            <w:hideMark/>
          </w:tcPr>
          <w:p w14:paraId="14AFC79F"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846 </w:t>
            </w:r>
          </w:p>
        </w:tc>
      </w:tr>
      <w:tr w:rsidR="001570CE" w:rsidRPr="00986F5B" w14:paraId="2DF29353" w14:textId="77777777" w:rsidTr="00D4057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35D315"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2016</w:t>
            </w:r>
          </w:p>
        </w:tc>
        <w:tc>
          <w:tcPr>
            <w:tcW w:w="1380" w:type="dxa"/>
            <w:tcBorders>
              <w:top w:val="nil"/>
              <w:left w:val="nil"/>
              <w:bottom w:val="single" w:sz="4" w:space="0" w:color="auto"/>
              <w:right w:val="single" w:sz="4" w:space="0" w:color="auto"/>
            </w:tcBorders>
            <w:shd w:val="clear" w:color="auto" w:fill="auto"/>
            <w:noWrap/>
            <w:vAlign w:val="center"/>
            <w:hideMark/>
          </w:tcPr>
          <w:p w14:paraId="7FEFC5EF"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831 </w:t>
            </w:r>
          </w:p>
        </w:tc>
        <w:tc>
          <w:tcPr>
            <w:tcW w:w="1380" w:type="dxa"/>
            <w:tcBorders>
              <w:top w:val="nil"/>
              <w:left w:val="nil"/>
              <w:bottom w:val="single" w:sz="4" w:space="0" w:color="auto"/>
              <w:right w:val="single" w:sz="4" w:space="0" w:color="auto"/>
            </w:tcBorders>
            <w:shd w:val="clear" w:color="auto" w:fill="auto"/>
            <w:noWrap/>
            <w:vAlign w:val="center"/>
            <w:hideMark/>
          </w:tcPr>
          <w:p w14:paraId="2C8964F3"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817 </w:t>
            </w:r>
          </w:p>
        </w:tc>
      </w:tr>
      <w:tr w:rsidR="001570CE" w:rsidRPr="00986F5B" w14:paraId="7920B992" w14:textId="77777777" w:rsidTr="00D4057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0A90D9"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2017</w:t>
            </w:r>
          </w:p>
        </w:tc>
        <w:tc>
          <w:tcPr>
            <w:tcW w:w="1380" w:type="dxa"/>
            <w:tcBorders>
              <w:top w:val="nil"/>
              <w:left w:val="nil"/>
              <w:bottom w:val="single" w:sz="4" w:space="0" w:color="auto"/>
              <w:right w:val="single" w:sz="4" w:space="0" w:color="auto"/>
            </w:tcBorders>
            <w:shd w:val="clear" w:color="auto" w:fill="auto"/>
            <w:noWrap/>
            <w:vAlign w:val="center"/>
            <w:hideMark/>
          </w:tcPr>
          <w:p w14:paraId="0663A96E"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833 </w:t>
            </w:r>
          </w:p>
        </w:tc>
        <w:tc>
          <w:tcPr>
            <w:tcW w:w="1380" w:type="dxa"/>
            <w:tcBorders>
              <w:top w:val="nil"/>
              <w:left w:val="nil"/>
              <w:bottom w:val="single" w:sz="4" w:space="0" w:color="auto"/>
              <w:right w:val="single" w:sz="4" w:space="0" w:color="auto"/>
            </w:tcBorders>
            <w:shd w:val="clear" w:color="auto" w:fill="auto"/>
            <w:noWrap/>
            <w:vAlign w:val="center"/>
            <w:hideMark/>
          </w:tcPr>
          <w:p w14:paraId="38679736"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831 </w:t>
            </w:r>
          </w:p>
        </w:tc>
      </w:tr>
      <w:tr w:rsidR="001570CE" w:rsidRPr="00986F5B" w14:paraId="4DB9FFF5" w14:textId="77777777" w:rsidTr="00D4057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7C16C3"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2018</w:t>
            </w:r>
          </w:p>
        </w:tc>
        <w:tc>
          <w:tcPr>
            <w:tcW w:w="1380" w:type="dxa"/>
            <w:tcBorders>
              <w:top w:val="nil"/>
              <w:left w:val="nil"/>
              <w:bottom w:val="single" w:sz="4" w:space="0" w:color="auto"/>
              <w:right w:val="single" w:sz="4" w:space="0" w:color="auto"/>
            </w:tcBorders>
            <w:shd w:val="clear" w:color="auto" w:fill="auto"/>
            <w:noWrap/>
            <w:vAlign w:val="center"/>
            <w:hideMark/>
          </w:tcPr>
          <w:p w14:paraId="6E823970"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846 </w:t>
            </w:r>
          </w:p>
        </w:tc>
        <w:tc>
          <w:tcPr>
            <w:tcW w:w="1380" w:type="dxa"/>
            <w:tcBorders>
              <w:top w:val="nil"/>
              <w:left w:val="nil"/>
              <w:bottom w:val="single" w:sz="4" w:space="0" w:color="auto"/>
              <w:right w:val="single" w:sz="4" w:space="0" w:color="auto"/>
            </w:tcBorders>
            <w:shd w:val="clear" w:color="auto" w:fill="auto"/>
            <w:noWrap/>
            <w:vAlign w:val="center"/>
            <w:hideMark/>
          </w:tcPr>
          <w:p w14:paraId="14E26E9B"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839 </w:t>
            </w:r>
          </w:p>
        </w:tc>
      </w:tr>
      <w:tr w:rsidR="001570CE" w:rsidRPr="00986F5B" w14:paraId="519C577C" w14:textId="77777777" w:rsidTr="00D4057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9D3710"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2019</w:t>
            </w:r>
          </w:p>
        </w:tc>
        <w:tc>
          <w:tcPr>
            <w:tcW w:w="1380" w:type="dxa"/>
            <w:tcBorders>
              <w:top w:val="nil"/>
              <w:left w:val="nil"/>
              <w:bottom w:val="single" w:sz="4" w:space="0" w:color="auto"/>
              <w:right w:val="single" w:sz="4" w:space="0" w:color="auto"/>
            </w:tcBorders>
            <w:shd w:val="clear" w:color="auto" w:fill="auto"/>
            <w:noWrap/>
            <w:vAlign w:val="center"/>
            <w:hideMark/>
          </w:tcPr>
          <w:p w14:paraId="71565194"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858 </w:t>
            </w:r>
          </w:p>
        </w:tc>
        <w:tc>
          <w:tcPr>
            <w:tcW w:w="1380" w:type="dxa"/>
            <w:tcBorders>
              <w:top w:val="nil"/>
              <w:left w:val="nil"/>
              <w:bottom w:val="single" w:sz="4" w:space="0" w:color="auto"/>
              <w:right w:val="single" w:sz="4" w:space="0" w:color="auto"/>
            </w:tcBorders>
            <w:shd w:val="clear" w:color="auto" w:fill="auto"/>
            <w:noWrap/>
            <w:vAlign w:val="center"/>
            <w:hideMark/>
          </w:tcPr>
          <w:p w14:paraId="178482D8"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850 </w:t>
            </w:r>
          </w:p>
        </w:tc>
      </w:tr>
      <w:tr w:rsidR="001570CE" w:rsidRPr="00986F5B" w14:paraId="47811BF7" w14:textId="77777777" w:rsidTr="00D4057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D500AB"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2020</w:t>
            </w:r>
          </w:p>
        </w:tc>
        <w:tc>
          <w:tcPr>
            <w:tcW w:w="1380" w:type="dxa"/>
            <w:tcBorders>
              <w:top w:val="nil"/>
              <w:left w:val="nil"/>
              <w:bottom w:val="single" w:sz="4" w:space="0" w:color="auto"/>
              <w:right w:val="single" w:sz="4" w:space="0" w:color="auto"/>
            </w:tcBorders>
            <w:shd w:val="clear" w:color="auto" w:fill="auto"/>
            <w:noWrap/>
            <w:vAlign w:val="center"/>
            <w:hideMark/>
          </w:tcPr>
          <w:p w14:paraId="07878B0C"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836 </w:t>
            </w:r>
          </w:p>
        </w:tc>
        <w:tc>
          <w:tcPr>
            <w:tcW w:w="1380" w:type="dxa"/>
            <w:tcBorders>
              <w:top w:val="nil"/>
              <w:left w:val="nil"/>
              <w:bottom w:val="single" w:sz="4" w:space="0" w:color="auto"/>
              <w:right w:val="single" w:sz="4" w:space="0" w:color="auto"/>
            </w:tcBorders>
            <w:shd w:val="clear" w:color="auto" w:fill="auto"/>
            <w:noWrap/>
            <w:vAlign w:val="center"/>
            <w:hideMark/>
          </w:tcPr>
          <w:p w14:paraId="75EE06A0"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826 </w:t>
            </w:r>
          </w:p>
        </w:tc>
      </w:tr>
      <w:tr w:rsidR="001570CE" w:rsidRPr="00986F5B" w14:paraId="4D6DD7DF" w14:textId="77777777" w:rsidTr="00D4057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1AA5AD"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2021</w:t>
            </w:r>
          </w:p>
        </w:tc>
        <w:tc>
          <w:tcPr>
            <w:tcW w:w="1380" w:type="dxa"/>
            <w:tcBorders>
              <w:top w:val="nil"/>
              <w:left w:val="nil"/>
              <w:bottom w:val="single" w:sz="4" w:space="0" w:color="auto"/>
              <w:right w:val="single" w:sz="4" w:space="0" w:color="auto"/>
            </w:tcBorders>
            <w:shd w:val="clear" w:color="auto" w:fill="auto"/>
            <w:noWrap/>
            <w:vAlign w:val="center"/>
            <w:hideMark/>
          </w:tcPr>
          <w:p w14:paraId="7C52BA9B"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864 </w:t>
            </w:r>
          </w:p>
        </w:tc>
        <w:tc>
          <w:tcPr>
            <w:tcW w:w="1380" w:type="dxa"/>
            <w:tcBorders>
              <w:top w:val="nil"/>
              <w:left w:val="nil"/>
              <w:bottom w:val="single" w:sz="4" w:space="0" w:color="auto"/>
              <w:right w:val="single" w:sz="4" w:space="0" w:color="auto"/>
            </w:tcBorders>
            <w:shd w:val="clear" w:color="auto" w:fill="auto"/>
            <w:noWrap/>
            <w:vAlign w:val="center"/>
            <w:hideMark/>
          </w:tcPr>
          <w:p w14:paraId="0CCDC792"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851 </w:t>
            </w:r>
          </w:p>
        </w:tc>
      </w:tr>
      <w:tr w:rsidR="001570CE" w:rsidRPr="00986F5B" w14:paraId="7A6015D3" w14:textId="77777777" w:rsidTr="00D4057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FF69D2"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2022</w:t>
            </w:r>
          </w:p>
        </w:tc>
        <w:tc>
          <w:tcPr>
            <w:tcW w:w="1380" w:type="dxa"/>
            <w:tcBorders>
              <w:top w:val="nil"/>
              <w:left w:val="nil"/>
              <w:bottom w:val="single" w:sz="4" w:space="0" w:color="auto"/>
              <w:right w:val="single" w:sz="4" w:space="0" w:color="auto"/>
            </w:tcBorders>
            <w:shd w:val="clear" w:color="auto" w:fill="auto"/>
            <w:noWrap/>
            <w:vAlign w:val="center"/>
            <w:hideMark/>
          </w:tcPr>
          <w:p w14:paraId="268B4EAB"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861 </w:t>
            </w:r>
          </w:p>
        </w:tc>
        <w:tc>
          <w:tcPr>
            <w:tcW w:w="1380" w:type="dxa"/>
            <w:tcBorders>
              <w:top w:val="nil"/>
              <w:left w:val="nil"/>
              <w:bottom w:val="single" w:sz="4" w:space="0" w:color="auto"/>
              <w:right w:val="single" w:sz="4" w:space="0" w:color="auto"/>
            </w:tcBorders>
            <w:shd w:val="clear" w:color="auto" w:fill="auto"/>
            <w:noWrap/>
            <w:vAlign w:val="center"/>
            <w:hideMark/>
          </w:tcPr>
          <w:p w14:paraId="4955C47F" w14:textId="77777777" w:rsidR="001570CE" w:rsidRPr="00986F5B" w:rsidRDefault="001570CE" w:rsidP="00D40576">
            <w:pPr>
              <w:spacing w:after="0"/>
              <w:jc w:val="center"/>
              <w:rPr>
                <w:rFonts w:ascii="Calibri" w:eastAsia="Times New Roman" w:hAnsi="Calibri" w:cs="Calibri"/>
                <w:color w:val="000000"/>
              </w:rPr>
            </w:pPr>
            <w:r w:rsidRPr="00986F5B">
              <w:rPr>
                <w:rFonts w:ascii="Calibri" w:eastAsia="Times New Roman" w:hAnsi="Calibri" w:cs="Calibri"/>
                <w:color w:val="000000"/>
              </w:rPr>
              <w:t>815 </w:t>
            </w:r>
          </w:p>
        </w:tc>
      </w:tr>
    </w:tbl>
    <w:p w14:paraId="3343D783" w14:textId="7EC7AD82" w:rsidR="001570CE" w:rsidRPr="001570CE" w:rsidRDefault="001570CE" w:rsidP="0006441A">
      <w:r>
        <w:t>The only change in conditions the data change cause</w:t>
      </w:r>
      <w:r w:rsidR="003277A8">
        <w:t>s</w:t>
      </w:r>
      <w:r>
        <w:t xml:space="preserve"> is for 2019 and 2020 annual values for both sexes which change from negative conditions during the 2023 Data Update to neutral conditions during the 2024 Data Update. The terminal five-year means are negative for both sexes during both data updates. </w:t>
      </w:r>
    </w:p>
    <w:p w14:paraId="33D83065" w14:textId="546A8A5A" w:rsidR="004766F3" w:rsidRPr="00102AC8" w:rsidRDefault="004766F3" w:rsidP="0006441A">
      <w:pPr>
        <w:rPr>
          <w:i/>
          <w:iCs/>
          <w:u w:val="single"/>
        </w:rPr>
      </w:pPr>
      <w:r w:rsidRPr="00102AC8">
        <w:rPr>
          <w:i/>
          <w:iCs/>
          <w:u w:val="single"/>
        </w:rPr>
        <w:t>Maine</w:t>
      </w:r>
      <w:r w:rsidR="001570CE">
        <w:rPr>
          <w:i/>
          <w:iCs/>
          <w:u w:val="single"/>
        </w:rPr>
        <w:t xml:space="preserve"> (2023 Update)</w:t>
      </w:r>
    </w:p>
    <w:p w14:paraId="07C56544" w14:textId="1777C5DF" w:rsidR="004766F3" w:rsidRDefault="00AD60FB" w:rsidP="0006441A">
      <w:r>
        <w:t>During the 2023 Data Update (terminal data year of 2022), a few errors were found in the upload process where data was not uploaded correctly and treated in a consistent manner as the assessment. For the Fall 2021 ME/NH Trawl Survey, the sex of sampled lobsters did not upload correctly, leading to 7 tows being excluded in error. These data have now been corrected and included. During the 2020 assessment, the stock assessment team,</w:t>
      </w:r>
      <w:r w:rsidRPr="00F329B6">
        <w:t xml:space="preserve"> </w:t>
      </w:r>
      <w:r>
        <w:t xml:space="preserve">in consultation with survey staff, determined that a very large outlier tow in the Spring 2014 ME/NH Trawl Survey should be excluded from the assessment. However, this outlier tow was not excluded in the 2022 Data Update. It </w:t>
      </w:r>
      <w:r w:rsidR="003277A8">
        <w:t>was</w:t>
      </w:r>
      <w:r>
        <w:t xml:space="preserve"> excluded for the 2023 Data Update, consistent with the stock assessment. For the Maine settlement survey, data for 2013 was not uploaded completely and this has now been corrected.</w:t>
      </w:r>
    </w:p>
    <w:p w14:paraId="046F5F85" w14:textId="7D4D9741" w:rsidR="0006441A" w:rsidRPr="00102AC8" w:rsidRDefault="0006441A" w:rsidP="0006441A">
      <w:pPr>
        <w:rPr>
          <w:i/>
          <w:iCs/>
          <w:u w:val="single"/>
        </w:rPr>
      </w:pPr>
      <w:r w:rsidRPr="00102AC8">
        <w:rPr>
          <w:i/>
          <w:iCs/>
          <w:u w:val="single"/>
        </w:rPr>
        <w:t>Massachusetts</w:t>
      </w:r>
      <w:r>
        <w:rPr>
          <w:i/>
          <w:iCs/>
          <w:u w:val="single"/>
        </w:rPr>
        <w:t xml:space="preserve"> (2023 Update)</w:t>
      </w:r>
    </w:p>
    <w:p w14:paraId="0916AEEE" w14:textId="68943EAC" w:rsidR="0006441A" w:rsidRDefault="0006441A" w:rsidP="0006441A">
      <w:r>
        <w:t>F</w:t>
      </w:r>
      <w:r w:rsidRPr="00102AC8">
        <w:t xml:space="preserve">ollowing the 2022 Data Update (terminal year of 2021), an error was discovered in the data pull </w:t>
      </w:r>
      <w:r w:rsidR="0095390C">
        <w:t>for the SNE VTS index</w:t>
      </w:r>
      <w:r w:rsidR="0095390C" w:rsidRPr="00102AC8">
        <w:t xml:space="preserve"> </w:t>
      </w:r>
      <w:r w:rsidRPr="00102AC8">
        <w:t xml:space="preserve">that did not filter the frequency of trawl hauls per month in historical data to match the </w:t>
      </w:r>
      <w:r w:rsidRPr="00102AC8">
        <w:lastRenderedPageBreak/>
        <w:t>reduced sampling frequency in data since the footprint reduction (</w:t>
      </w:r>
      <w:r w:rsidR="003277A8">
        <w:t xml:space="preserve">see below; </w:t>
      </w:r>
      <w:r w:rsidRPr="00102AC8">
        <w:t>reduced to 1 haul/month). This error was corrected in the data pull for the 2023 Data Update.</w:t>
      </w:r>
    </w:p>
    <w:p w14:paraId="3ACA9BA0" w14:textId="3B98B1DA" w:rsidR="004766F3" w:rsidRPr="00102AC8" w:rsidRDefault="004766F3" w:rsidP="0006441A">
      <w:pPr>
        <w:rPr>
          <w:i/>
          <w:iCs/>
          <w:u w:val="single"/>
        </w:rPr>
      </w:pPr>
      <w:r w:rsidRPr="00102AC8">
        <w:rPr>
          <w:i/>
          <w:iCs/>
          <w:u w:val="single"/>
        </w:rPr>
        <w:t>Massachusetts</w:t>
      </w:r>
      <w:r w:rsidR="001570CE">
        <w:rPr>
          <w:i/>
          <w:iCs/>
          <w:u w:val="single"/>
        </w:rPr>
        <w:t xml:space="preserve"> (</w:t>
      </w:r>
      <w:r w:rsidR="0006441A">
        <w:rPr>
          <w:i/>
          <w:iCs/>
          <w:u w:val="single"/>
        </w:rPr>
        <w:t xml:space="preserve">2022 </w:t>
      </w:r>
      <w:r w:rsidR="001570CE">
        <w:rPr>
          <w:i/>
          <w:iCs/>
          <w:u w:val="single"/>
        </w:rPr>
        <w:t>Update)</w:t>
      </w:r>
    </w:p>
    <w:p w14:paraId="174691B9" w14:textId="0A2428BA" w:rsidR="000A1BE9" w:rsidRDefault="00AD60FB" w:rsidP="0006441A">
      <w:r w:rsidRPr="00102AC8">
        <w:t xml:space="preserve">Following the 2021 Data Update (terminal data year of 2020), there was a reduction in the spatial coverage of the </w:t>
      </w:r>
      <w:r w:rsidR="0006441A">
        <w:t>SNE VTS (Statistical Area 538)</w:t>
      </w:r>
      <w:r w:rsidRPr="00102AC8">
        <w:t xml:space="preserve"> due to reduced participation. This change necessitates dropping out data collected during earlier years from areas no longer sampled to calculate an index from a consistent survey footprint, resulting in changes to the indices. Note that the updated index increased slightly in scale (the reduced footprint excludes most of the interior of Buzzards Bay), but the pattern over time is generally consistent with the previous index. </w:t>
      </w:r>
    </w:p>
    <w:p w14:paraId="06E0256C" w14:textId="4FB7F311" w:rsidR="000A1BE9" w:rsidRDefault="000A1BE9" w:rsidP="0006441A">
      <w:pPr>
        <w:rPr>
          <w:i/>
          <w:iCs/>
          <w:u w:val="single"/>
        </w:rPr>
      </w:pPr>
      <w:r w:rsidRPr="000A1BE9">
        <w:rPr>
          <w:i/>
          <w:iCs/>
          <w:u w:val="single"/>
        </w:rPr>
        <w:t>Rhode Island</w:t>
      </w:r>
      <w:r w:rsidR="001570CE">
        <w:rPr>
          <w:i/>
          <w:iCs/>
          <w:u w:val="single"/>
        </w:rPr>
        <w:t xml:space="preserve"> (202</w:t>
      </w:r>
      <w:r w:rsidR="0006441A">
        <w:rPr>
          <w:i/>
          <w:iCs/>
          <w:u w:val="single"/>
        </w:rPr>
        <w:t>2</w:t>
      </w:r>
      <w:r w:rsidR="001570CE">
        <w:rPr>
          <w:i/>
          <w:iCs/>
          <w:u w:val="single"/>
        </w:rPr>
        <w:t xml:space="preserve"> Update)</w:t>
      </w:r>
    </w:p>
    <w:p w14:paraId="479EA211" w14:textId="23AE6B76" w:rsidR="009C6F05" w:rsidRPr="009C6F05" w:rsidRDefault="009C6F05" w:rsidP="0006441A">
      <w:r>
        <w:t xml:space="preserve">Some changes to the SNE VTS Statistical Area 539 (RI) data occurred between the 2021 Data Update (terminal data year of 2020) and 2022 Data Update (terminal data year of 2021). </w:t>
      </w:r>
      <w:r w:rsidRPr="009C6F05">
        <w:t xml:space="preserve">Upon further QA/QC in site or sample location, strata classification for select stations over time were rectified. Data as such </w:t>
      </w:r>
      <w:r>
        <w:t>were</w:t>
      </w:r>
      <w:r w:rsidRPr="009C6F05">
        <w:t xml:space="preserve"> updated to reflect these changes</w:t>
      </w:r>
      <w:r>
        <w:t xml:space="preserve"> during the 2022 Data Update</w:t>
      </w:r>
      <w:r w:rsidRPr="009C6F05">
        <w:t>.</w:t>
      </w:r>
    </w:p>
    <w:sectPr w:rsidR="009C6F05" w:rsidRPr="009C6F05" w:rsidSect="004766F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46FD2" w14:textId="77777777" w:rsidR="007D6A0D" w:rsidRDefault="007D6A0D" w:rsidP="00D5714C">
      <w:pPr>
        <w:spacing w:after="0"/>
      </w:pPr>
      <w:r>
        <w:separator/>
      </w:r>
    </w:p>
  </w:endnote>
  <w:endnote w:type="continuationSeparator" w:id="0">
    <w:p w14:paraId="4C53FF35" w14:textId="77777777" w:rsidR="007D6A0D" w:rsidRDefault="007D6A0D" w:rsidP="00D571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597360"/>
      <w:docPartObj>
        <w:docPartGallery w:val="Page Numbers (Bottom of Page)"/>
        <w:docPartUnique/>
      </w:docPartObj>
    </w:sdtPr>
    <w:sdtEndPr/>
    <w:sdtContent>
      <w:p w14:paraId="0BB5C1B0" w14:textId="77777777" w:rsidR="00B154BE" w:rsidRDefault="0076395B">
        <w:pPr>
          <w:pStyle w:val="Footer"/>
          <w:jc w:val="right"/>
        </w:pPr>
        <w:r>
          <w:fldChar w:fldCharType="begin"/>
        </w:r>
        <w:r>
          <w:instrText xml:space="preserve"> PAGE   \* MERGEFORMAT </w:instrText>
        </w:r>
        <w:r>
          <w:fldChar w:fldCharType="separate"/>
        </w:r>
        <w:r w:rsidR="00E66821">
          <w:rPr>
            <w:noProof/>
          </w:rPr>
          <w:t>13</w:t>
        </w:r>
        <w:r>
          <w:rPr>
            <w:noProof/>
          </w:rPr>
          <w:fldChar w:fldCharType="end"/>
        </w:r>
      </w:p>
    </w:sdtContent>
  </w:sdt>
  <w:p w14:paraId="56D440AC" w14:textId="77777777" w:rsidR="00B154BE" w:rsidRDefault="00B1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02DC" w14:textId="0E5D4AF4" w:rsidR="0076395B" w:rsidRPr="00E04D69" w:rsidRDefault="00B833C3" w:rsidP="00A655DB">
    <w:pPr>
      <w:autoSpaceDE w:val="0"/>
      <w:autoSpaceDN w:val="0"/>
      <w:adjustRightInd w:val="0"/>
      <w:ind w:left="-540"/>
      <w:jc w:val="right"/>
      <w:rPr>
        <w:rFonts w:cstheme="minorHAnsi"/>
        <w:sz w:val="20"/>
      </w:rPr>
    </w:pPr>
    <w:r w:rsidRPr="00304498">
      <w:rPr>
        <w:rFonts w:cstheme="minorHAnsi"/>
        <w:sz w:val="20"/>
      </w:rPr>
      <w:t>M2</w:t>
    </w:r>
    <w:r w:rsidR="00AD3400" w:rsidRPr="00304498">
      <w:rPr>
        <w:rFonts w:cstheme="minorHAnsi"/>
        <w:sz w:val="20"/>
      </w:rPr>
      <w:t>4</w:t>
    </w:r>
    <w:r w:rsidR="0076395B" w:rsidRPr="00304498">
      <w:rPr>
        <w:rFonts w:cstheme="minorHAnsi"/>
        <w:sz w:val="20"/>
      </w:rPr>
      <w:t>-</w:t>
    </w:r>
    <w:r w:rsidR="00304498" w:rsidRPr="00304498">
      <w:rPr>
        <w:rFonts w:cstheme="minorHAnsi"/>
        <w:sz w:val="20"/>
      </w:rPr>
      <w:t>74</w:t>
    </w:r>
  </w:p>
  <w:p w14:paraId="0E5087DE" w14:textId="77777777" w:rsidR="000536FF" w:rsidRPr="00E04D69" w:rsidRDefault="0075618D" w:rsidP="000536FF">
    <w:pPr>
      <w:autoSpaceDE w:val="0"/>
      <w:autoSpaceDN w:val="0"/>
      <w:adjustRightInd w:val="0"/>
      <w:ind w:left="-540" w:right="-540"/>
      <w:jc w:val="center"/>
      <w:rPr>
        <w:rFonts w:cstheme="minorHAnsi"/>
        <w:i/>
        <w:color w:val="000080"/>
        <w:sz w:val="20"/>
      </w:rPr>
    </w:pPr>
    <w:r w:rsidRPr="00E04D69">
      <w:rPr>
        <w:rFonts w:cstheme="minorHAnsi"/>
        <w:i/>
        <w:color w:val="000080"/>
        <w:sz w:val="20"/>
      </w:rPr>
      <w:t>Sustainable and Cooperative Management of Atlantic Coastal Fisheries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621301"/>
      <w:docPartObj>
        <w:docPartGallery w:val="Page Numbers (Bottom of Page)"/>
        <w:docPartUnique/>
      </w:docPartObj>
    </w:sdtPr>
    <w:sdtEndPr>
      <w:rPr>
        <w:noProof/>
      </w:rPr>
    </w:sdtEndPr>
    <w:sdtContent>
      <w:p w14:paraId="01861EB7" w14:textId="77777777" w:rsidR="00E26BFA" w:rsidRDefault="00E26BFA">
        <w:pPr>
          <w:pStyle w:val="Footer"/>
          <w:jc w:val="right"/>
        </w:pPr>
        <w:r>
          <w:fldChar w:fldCharType="begin"/>
        </w:r>
        <w:r>
          <w:instrText xml:space="preserve"> PAGE   \* MERGEFORMAT </w:instrText>
        </w:r>
        <w:r>
          <w:fldChar w:fldCharType="separate"/>
        </w:r>
        <w:r w:rsidR="00E66821">
          <w:rPr>
            <w:noProof/>
          </w:rPr>
          <w:t>4</w:t>
        </w:r>
        <w:r>
          <w:rPr>
            <w:noProof/>
          </w:rPr>
          <w:fldChar w:fldCharType="end"/>
        </w:r>
      </w:p>
    </w:sdtContent>
  </w:sdt>
  <w:p w14:paraId="1154F566" w14:textId="77777777" w:rsidR="00E26BFA" w:rsidRPr="00E26BFA" w:rsidRDefault="00E26BFA" w:rsidP="00E26BFA">
    <w:pPr>
      <w:autoSpaceDE w:val="0"/>
      <w:autoSpaceDN w:val="0"/>
      <w:adjustRightInd w:val="0"/>
      <w:ind w:left="-540" w:right="-540"/>
      <w:rPr>
        <w:rFonts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53719" w14:textId="77777777" w:rsidR="007D6A0D" w:rsidRDefault="007D6A0D" w:rsidP="00D5714C">
      <w:pPr>
        <w:spacing w:after="0"/>
      </w:pPr>
      <w:r>
        <w:separator/>
      </w:r>
    </w:p>
  </w:footnote>
  <w:footnote w:type="continuationSeparator" w:id="0">
    <w:p w14:paraId="70033604" w14:textId="77777777" w:rsidR="007D6A0D" w:rsidRDefault="007D6A0D" w:rsidP="00D571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9460" w14:textId="77777777" w:rsidR="000536FF" w:rsidRPr="00E04D69" w:rsidRDefault="000536FF" w:rsidP="000536FF">
    <w:pPr>
      <w:pStyle w:val="Title"/>
      <w:ind w:left="1260"/>
      <w:rPr>
        <w:rFonts w:asciiTheme="minorHAnsi" w:hAnsiTheme="minorHAnsi" w:cstheme="minorHAnsi"/>
        <w:color w:val="000080"/>
      </w:rPr>
    </w:pPr>
    <w:r w:rsidRPr="00E04D69">
      <w:rPr>
        <w:rFonts w:asciiTheme="minorHAnsi" w:hAnsiTheme="minorHAnsi" w:cstheme="minorHAnsi"/>
        <w:noProof/>
        <w:color w:val="000080"/>
      </w:rPr>
      <w:drawing>
        <wp:anchor distT="0" distB="0" distL="114300" distR="114300" simplePos="0" relativeHeight="251657216" behindDoc="1" locked="0" layoutInCell="1" allowOverlap="1" wp14:anchorId="2744C0B9" wp14:editId="13A2506D">
          <wp:simplePos x="0" y="0"/>
          <wp:positionH relativeFrom="column">
            <wp:posOffset>-106846</wp:posOffset>
          </wp:positionH>
          <wp:positionV relativeFrom="paragraph">
            <wp:posOffset>-218661</wp:posOffset>
          </wp:positionV>
          <wp:extent cx="871662" cy="874644"/>
          <wp:effectExtent l="19050" t="0" r="4638" b="0"/>
          <wp:wrapNone/>
          <wp:docPr id="1" name="Picture 9" descr="OfficialASMFCLogoReflexBl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ficialASMFCLogoReflexBlue2"/>
                  <pic:cNvPicPr>
                    <a:picLocks noChangeAspect="1" noChangeArrowheads="1"/>
                  </pic:cNvPicPr>
                </pic:nvPicPr>
                <pic:blipFill>
                  <a:blip r:embed="rId1"/>
                  <a:srcRect/>
                  <a:stretch>
                    <a:fillRect/>
                  </a:stretch>
                </pic:blipFill>
                <pic:spPr bwMode="auto">
                  <a:xfrm>
                    <a:off x="0" y="0"/>
                    <a:ext cx="871662" cy="874644"/>
                  </a:xfrm>
                  <a:prstGeom prst="rect">
                    <a:avLst/>
                  </a:prstGeom>
                  <a:noFill/>
                  <a:ln w="9525">
                    <a:noFill/>
                    <a:miter lim="800000"/>
                    <a:headEnd/>
                    <a:tailEnd/>
                  </a:ln>
                </pic:spPr>
              </pic:pic>
            </a:graphicData>
          </a:graphic>
        </wp:anchor>
      </w:drawing>
    </w:r>
    <w:r w:rsidRPr="00E04D69">
      <w:rPr>
        <w:rFonts w:asciiTheme="minorHAnsi" w:hAnsiTheme="minorHAnsi" w:cstheme="minorHAnsi"/>
        <w:color w:val="000080"/>
      </w:rPr>
      <w:t>Atlantic States Marine Fisheries Commission</w:t>
    </w:r>
  </w:p>
  <w:p w14:paraId="7932F9AB" w14:textId="77777777" w:rsidR="000536FF" w:rsidRPr="00E04D69" w:rsidRDefault="000536FF" w:rsidP="000536FF">
    <w:pPr>
      <w:ind w:left="1260"/>
      <w:jc w:val="center"/>
      <w:rPr>
        <w:rFonts w:cstheme="minorHAnsi"/>
        <w:b/>
        <w:bCs/>
        <w:color w:val="000080"/>
        <w:sz w:val="8"/>
        <w:szCs w:val="8"/>
      </w:rPr>
    </w:pPr>
  </w:p>
  <w:p w14:paraId="33A10A4F" w14:textId="77777777" w:rsidR="000536FF" w:rsidRPr="00E04D69" w:rsidRDefault="000536FF" w:rsidP="000536FF">
    <w:pPr>
      <w:spacing w:after="0"/>
      <w:ind w:left="1267"/>
      <w:jc w:val="center"/>
      <w:rPr>
        <w:rFonts w:cstheme="minorHAnsi"/>
        <w:i/>
        <w:iCs/>
        <w:color w:val="000080"/>
        <w:sz w:val="20"/>
        <w:szCs w:val="20"/>
      </w:rPr>
    </w:pPr>
    <w:r w:rsidRPr="00E04D69">
      <w:rPr>
        <w:rFonts w:cstheme="minorHAnsi"/>
        <w:color w:val="000080"/>
        <w:sz w:val="20"/>
      </w:rPr>
      <w:t xml:space="preserve">1050 N. Highland Street  •  Suite 200A-N  •  </w:t>
    </w:r>
    <w:r w:rsidRPr="00E04D69">
      <w:rPr>
        <w:rFonts w:cstheme="minorHAnsi"/>
        <w:iCs/>
        <w:color w:val="000080"/>
        <w:sz w:val="20"/>
        <w:szCs w:val="20"/>
      </w:rPr>
      <w:t>Arlington, VA 22201</w:t>
    </w:r>
  </w:p>
  <w:p w14:paraId="441555D6" w14:textId="77777777" w:rsidR="000536FF" w:rsidRPr="00E04D69" w:rsidRDefault="000536FF" w:rsidP="000536FF">
    <w:pPr>
      <w:spacing w:after="0"/>
      <w:ind w:left="1267"/>
      <w:jc w:val="center"/>
      <w:rPr>
        <w:rFonts w:cstheme="minorHAnsi"/>
        <w:color w:val="000080"/>
        <w:sz w:val="20"/>
      </w:rPr>
    </w:pPr>
    <w:r w:rsidRPr="00E04D69">
      <w:rPr>
        <w:rFonts w:cstheme="minorHAnsi"/>
        <w:color w:val="000080"/>
        <w:sz w:val="20"/>
      </w:rPr>
      <w:t xml:space="preserve">703.842.0740  •  703.842.0741 (fax)  •  </w:t>
    </w:r>
    <w:hyperlink r:id="rId2" w:history="1">
      <w:r w:rsidRPr="00E04D69">
        <w:rPr>
          <w:rStyle w:val="Hyperlink"/>
          <w:rFonts w:cstheme="minorHAnsi"/>
          <w:color w:val="000080"/>
          <w:sz w:val="20"/>
          <w:u w:val="none"/>
        </w:rPr>
        <w:t>www.asmfc.org</w:t>
      </w:r>
    </w:hyperlink>
  </w:p>
  <w:p w14:paraId="018AC41E" w14:textId="77777777" w:rsidR="000536FF" w:rsidRPr="00E04D69" w:rsidRDefault="00B65646" w:rsidP="000536FF">
    <w:pPr>
      <w:pStyle w:val="BodyStyle"/>
      <w:tabs>
        <w:tab w:val="clear" w:pos="720"/>
        <w:tab w:val="clear" w:pos="1440"/>
        <w:tab w:val="right" w:pos="1260"/>
      </w:tabs>
      <w:spacing w:line="200" w:lineRule="auto"/>
      <w:jc w:val="center"/>
      <w:rPr>
        <w:rFonts w:asciiTheme="minorHAnsi" w:hAnsiTheme="minorHAnsi" w:cstheme="minorHAnsi"/>
        <w:b/>
        <w:bCs/>
        <w:color w:val="000080"/>
        <w:sz w:val="32"/>
        <w:szCs w:val="36"/>
      </w:rPr>
    </w:pPr>
    <w:r w:rsidRPr="00E04D69">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54F4298F" wp14:editId="35EB2320">
              <wp:simplePos x="0" y="0"/>
              <wp:positionH relativeFrom="column">
                <wp:posOffset>-228600</wp:posOffset>
              </wp:positionH>
              <wp:positionV relativeFrom="paragraph">
                <wp:posOffset>19685</wp:posOffset>
              </wp:positionV>
              <wp:extent cx="6309360" cy="0"/>
              <wp:effectExtent l="9525" t="13335" r="15240"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681D8DF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5pt" to="478.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" strokecolor="navy" strokeweight="1.5pt"/>
          </w:pict>
        </mc:Fallback>
      </mc:AlternateContent>
    </w:r>
  </w:p>
  <w:p w14:paraId="4392706A" w14:textId="77777777" w:rsidR="000536FF" w:rsidRPr="00E04D69" w:rsidRDefault="000536FF" w:rsidP="000536FF">
    <w:pPr>
      <w:pStyle w:val="BodyStyle"/>
      <w:tabs>
        <w:tab w:val="clear" w:pos="720"/>
        <w:tab w:val="clear" w:pos="1440"/>
        <w:tab w:val="right" w:pos="1260"/>
      </w:tabs>
      <w:spacing w:line="200" w:lineRule="auto"/>
      <w:jc w:val="center"/>
      <w:rPr>
        <w:rFonts w:asciiTheme="minorHAnsi" w:hAnsiTheme="minorHAnsi" w:cstheme="minorHAnsi"/>
        <w:b/>
        <w:bCs/>
        <w:color w:val="000080"/>
        <w:sz w:val="32"/>
        <w:szCs w:val="36"/>
      </w:rPr>
    </w:pPr>
    <w:r w:rsidRPr="00E04D69">
      <w:rPr>
        <w:rFonts w:asciiTheme="minorHAnsi" w:hAnsiTheme="minorHAnsi" w:cstheme="minorHAnsi"/>
        <w:b/>
        <w:bCs/>
        <w:color w:val="000080"/>
        <w:sz w:val="32"/>
        <w:szCs w:val="36"/>
      </w:rPr>
      <w:t>MEMORANDUM</w:t>
    </w:r>
  </w:p>
  <w:p w14:paraId="63EF7137" w14:textId="77777777" w:rsidR="000536FF" w:rsidRDefault="00053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BDAA" w14:textId="77777777" w:rsidR="00E26BFA" w:rsidRDefault="00E26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2EE"/>
    <w:multiLevelType w:val="hybridMultilevel"/>
    <w:tmpl w:val="6A362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6393E"/>
    <w:multiLevelType w:val="hybridMultilevel"/>
    <w:tmpl w:val="D884F32C"/>
    <w:lvl w:ilvl="0" w:tplc="D3641F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E0FD7"/>
    <w:multiLevelType w:val="hybridMultilevel"/>
    <w:tmpl w:val="F222A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E97A93"/>
    <w:multiLevelType w:val="hybridMultilevel"/>
    <w:tmpl w:val="6C8CC2C2"/>
    <w:lvl w:ilvl="0" w:tplc="A0D0EF90">
      <w:start w:val="1"/>
      <w:numFmt w:val="upperRoman"/>
      <w:lvlText w:val="%1."/>
      <w:lvlJc w:val="left"/>
      <w:pPr>
        <w:tabs>
          <w:tab w:val="num" w:pos="1080"/>
        </w:tabs>
        <w:ind w:left="1080" w:hanging="720"/>
      </w:pPr>
      <w:rPr>
        <w:rFonts w:hint="default"/>
      </w:rPr>
    </w:lvl>
    <w:lvl w:ilvl="1" w:tplc="1C8EB38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0823BE"/>
    <w:multiLevelType w:val="hybridMultilevel"/>
    <w:tmpl w:val="D2D49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244FF"/>
    <w:multiLevelType w:val="hybridMultilevel"/>
    <w:tmpl w:val="65083E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C3204F7"/>
    <w:multiLevelType w:val="hybridMultilevel"/>
    <w:tmpl w:val="748A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7D285C"/>
    <w:multiLevelType w:val="hybridMultilevel"/>
    <w:tmpl w:val="FC501E4E"/>
    <w:lvl w:ilvl="0" w:tplc="D3641F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4C"/>
    <w:rsid w:val="000100A6"/>
    <w:rsid w:val="00012358"/>
    <w:rsid w:val="00031A09"/>
    <w:rsid w:val="00036066"/>
    <w:rsid w:val="0004767E"/>
    <w:rsid w:val="0005290B"/>
    <w:rsid w:val="000536FF"/>
    <w:rsid w:val="0005541E"/>
    <w:rsid w:val="00055EF5"/>
    <w:rsid w:val="00061220"/>
    <w:rsid w:val="00063B23"/>
    <w:rsid w:val="0006441A"/>
    <w:rsid w:val="000A1BE9"/>
    <w:rsid w:val="000D6008"/>
    <w:rsid w:val="000D7B10"/>
    <w:rsid w:val="000E042A"/>
    <w:rsid w:val="000E54EA"/>
    <w:rsid w:val="000E5EA1"/>
    <w:rsid w:val="000E7BC3"/>
    <w:rsid w:val="000F3945"/>
    <w:rsid w:val="00101971"/>
    <w:rsid w:val="00123863"/>
    <w:rsid w:val="00131134"/>
    <w:rsid w:val="001319D3"/>
    <w:rsid w:val="00133A47"/>
    <w:rsid w:val="001570CE"/>
    <w:rsid w:val="00157A71"/>
    <w:rsid w:val="00165D4D"/>
    <w:rsid w:val="0017124F"/>
    <w:rsid w:val="00172D9D"/>
    <w:rsid w:val="00192051"/>
    <w:rsid w:val="0019270E"/>
    <w:rsid w:val="001A3DBA"/>
    <w:rsid w:val="001E5F77"/>
    <w:rsid w:val="001F5BC9"/>
    <w:rsid w:val="00234661"/>
    <w:rsid w:val="00244570"/>
    <w:rsid w:val="0024636D"/>
    <w:rsid w:val="00283C2F"/>
    <w:rsid w:val="002B7AF4"/>
    <w:rsid w:val="002D3801"/>
    <w:rsid w:val="003030F4"/>
    <w:rsid w:val="00304498"/>
    <w:rsid w:val="00306413"/>
    <w:rsid w:val="003142DB"/>
    <w:rsid w:val="00316838"/>
    <w:rsid w:val="00320978"/>
    <w:rsid w:val="003262F3"/>
    <w:rsid w:val="003277A8"/>
    <w:rsid w:val="00330301"/>
    <w:rsid w:val="00335628"/>
    <w:rsid w:val="00357136"/>
    <w:rsid w:val="003664F0"/>
    <w:rsid w:val="00383D0F"/>
    <w:rsid w:val="00387B94"/>
    <w:rsid w:val="00394568"/>
    <w:rsid w:val="003976CA"/>
    <w:rsid w:val="003C2106"/>
    <w:rsid w:val="00405AAA"/>
    <w:rsid w:val="0042654C"/>
    <w:rsid w:val="00466759"/>
    <w:rsid w:val="0047292D"/>
    <w:rsid w:val="004766F3"/>
    <w:rsid w:val="004A0098"/>
    <w:rsid w:val="004B418E"/>
    <w:rsid w:val="004C193E"/>
    <w:rsid w:val="004D158A"/>
    <w:rsid w:val="004D3EB2"/>
    <w:rsid w:val="004D72E8"/>
    <w:rsid w:val="004E031A"/>
    <w:rsid w:val="00500D49"/>
    <w:rsid w:val="005161BC"/>
    <w:rsid w:val="00520052"/>
    <w:rsid w:val="005435F2"/>
    <w:rsid w:val="00557995"/>
    <w:rsid w:val="005632BC"/>
    <w:rsid w:val="005650E3"/>
    <w:rsid w:val="005728CC"/>
    <w:rsid w:val="005B4725"/>
    <w:rsid w:val="005C4937"/>
    <w:rsid w:val="005D05B4"/>
    <w:rsid w:val="005D7C2F"/>
    <w:rsid w:val="005D7DF6"/>
    <w:rsid w:val="005E4BD1"/>
    <w:rsid w:val="005E7802"/>
    <w:rsid w:val="005F2EB0"/>
    <w:rsid w:val="00603B08"/>
    <w:rsid w:val="00631D34"/>
    <w:rsid w:val="0063232C"/>
    <w:rsid w:val="006572EA"/>
    <w:rsid w:val="00672EE7"/>
    <w:rsid w:val="006742B8"/>
    <w:rsid w:val="00675712"/>
    <w:rsid w:val="00680A59"/>
    <w:rsid w:val="006A32A5"/>
    <w:rsid w:val="006C540F"/>
    <w:rsid w:val="006D2D3C"/>
    <w:rsid w:val="006E3365"/>
    <w:rsid w:val="006E5546"/>
    <w:rsid w:val="006F4C36"/>
    <w:rsid w:val="007060DC"/>
    <w:rsid w:val="00707A02"/>
    <w:rsid w:val="00711A63"/>
    <w:rsid w:val="00754F0A"/>
    <w:rsid w:val="0075618D"/>
    <w:rsid w:val="0076395B"/>
    <w:rsid w:val="00766F85"/>
    <w:rsid w:val="00776FEA"/>
    <w:rsid w:val="007928CA"/>
    <w:rsid w:val="007B4732"/>
    <w:rsid w:val="007B6206"/>
    <w:rsid w:val="007D2BA0"/>
    <w:rsid w:val="007D4D68"/>
    <w:rsid w:val="007D4D88"/>
    <w:rsid w:val="007D6A0D"/>
    <w:rsid w:val="007E0443"/>
    <w:rsid w:val="008148D9"/>
    <w:rsid w:val="0087342F"/>
    <w:rsid w:val="00875A58"/>
    <w:rsid w:val="00875BCE"/>
    <w:rsid w:val="00882072"/>
    <w:rsid w:val="00894C3A"/>
    <w:rsid w:val="008A29F0"/>
    <w:rsid w:val="008B2478"/>
    <w:rsid w:val="008C7D72"/>
    <w:rsid w:val="008D0DF9"/>
    <w:rsid w:val="008D7D4B"/>
    <w:rsid w:val="008E4600"/>
    <w:rsid w:val="00924D6F"/>
    <w:rsid w:val="00936E7B"/>
    <w:rsid w:val="00937B26"/>
    <w:rsid w:val="00937D1C"/>
    <w:rsid w:val="009409D7"/>
    <w:rsid w:val="00941CB3"/>
    <w:rsid w:val="0095390C"/>
    <w:rsid w:val="009C67B0"/>
    <w:rsid w:val="009C68B1"/>
    <w:rsid w:val="009C6F05"/>
    <w:rsid w:val="009E3C44"/>
    <w:rsid w:val="00A60CBC"/>
    <w:rsid w:val="00A655DB"/>
    <w:rsid w:val="00A808CB"/>
    <w:rsid w:val="00A80B3E"/>
    <w:rsid w:val="00AD3400"/>
    <w:rsid w:val="00AD60FB"/>
    <w:rsid w:val="00AD7F03"/>
    <w:rsid w:val="00B0041C"/>
    <w:rsid w:val="00B154BE"/>
    <w:rsid w:val="00B3592F"/>
    <w:rsid w:val="00B36EA9"/>
    <w:rsid w:val="00B65646"/>
    <w:rsid w:val="00B67D59"/>
    <w:rsid w:val="00B75816"/>
    <w:rsid w:val="00B833C3"/>
    <w:rsid w:val="00B97EDD"/>
    <w:rsid w:val="00BB2641"/>
    <w:rsid w:val="00BB6EA2"/>
    <w:rsid w:val="00BB7568"/>
    <w:rsid w:val="00BD06F9"/>
    <w:rsid w:val="00BE5AD6"/>
    <w:rsid w:val="00BF2650"/>
    <w:rsid w:val="00BF4981"/>
    <w:rsid w:val="00C1129E"/>
    <w:rsid w:val="00C3034C"/>
    <w:rsid w:val="00C67C19"/>
    <w:rsid w:val="00C701AA"/>
    <w:rsid w:val="00CB2D35"/>
    <w:rsid w:val="00CC0E21"/>
    <w:rsid w:val="00CD27D2"/>
    <w:rsid w:val="00CE7CF2"/>
    <w:rsid w:val="00D14B7E"/>
    <w:rsid w:val="00D35ABA"/>
    <w:rsid w:val="00D55D58"/>
    <w:rsid w:val="00D5714C"/>
    <w:rsid w:val="00D6092B"/>
    <w:rsid w:val="00D74125"/>
    <w:rsid w:val="00D74B29"/>
    <w:rsid w:val="00D82C7A"/>
    <w:rsid w:val="00DA1901"/>
    <w:rsid w:val="00DB76D6"/>
    <w:rsid w:val="00DD009F"/>
    <w:rsid w:val="00DD6F39"/>
    <w:rsid w:val="00DE61EC"/>
    <w:rsid w:val="00DE6A23"/>
    <w:rsid w:val="00DF444A"/>
    <w:rsid w:val="00E04D69"/>
    <w:rsid w:val="00E26BFA"/>
    <w:rsid w:val="00E40E09"/>
    <w:rsid w:val="00E42685"/>
    <w:rsid w:val="00E5450B"/>
    <w:rsid w:val="00E56DA5"/>
    <w:rsid w:val="00E57D17"/>
    <w:rsid w:val="00E65BB1"/>
    <w:rsid w:val="00E66821"/>
    <w:rsid w:val="00E744C0"/>
    <w:rsid w:val="00EA0E59"/>
    <w:rsid w:val="00EA11DC"/>
    <w:rsid w:val="00EA7A43"/>
    <w:rsid w:val="00EA7B94"/>
    <w:rsid w:val="00EC32BC"/>
    <w:rsid w:val="00EC62E1"/>
    <w:rsid w:val="00EC6638"/>
    <w:rsid w:val="00EF41E3"/>
    <w:rsid w:val="00F2183B"/>
    <w:rsid w:val="00F55ECD"/>
    <w:rsid w:val="00F75CE7"/>
    <w:rsid w:val="00F8065D"/>
    <w:rsid w:val="00FA333F"/>
    <w:rsid w:val="00FA3E3D"/>
    <w:rsid w:val="00FD6451"/>
    <w:rsid w:val="00FD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67D95"/>
  <w15:docId w15:val="{7C218C73-D852-4A62-9106-E5CC1A7C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5714C"/>
    <w:pPr>
      <w:tabs>
        <w:tab w:val="center" w:pos="4680"/>
        <w:tab w:val="right" w:pos="9360"/>
      </w:tabs>
      <w:spacing w:after="0"/>
    </w:pPr>
  </w:style>
  <w:style w:type="character" w:customStyle="1" w:styleId="HeaderChar">
    <w:name w:val="Header Char"/>
    <w:basedOn w:val="DefaultParagraphFont"/>
    <w:link w:val="Header"/>
    <w:uiPriority w:val="99"/>
    <w:rsid w:val="00D5714C"/>
  </w:style>
  <w:style w:type="paragraph" w:styleId="Footer">
    <w:name w:val="footer"/>
    <w:basedOn w:val="Normal"/>
    <w:link w:val="FooterChar"/>
    <w:uiPriority w:val="99"/>
    <w:unhideWhenUsed/>
    <w:rsid w:val="00D5714C"/>
    <w:pPr>
      <w:tabs>
        <w:tab w:val="center" w:pos="4680"/>
        <w:tab w:val="right" w:pos="9360"/>
      </w:tabs>
      <w:spacing w:after="0"/>
    </w:pPr>
  </w:style>
  <w:style w:type="character" w:customStyle="1" w:styleId="FooterChar">
    <w:name w:val="Footer Char"/>
    <w:basedOn w:val="DefaultParagraphFont"/>
    <w:link w:val="Footer"/>
    <w:uiPriority w:val="99"/>
    <w:rsid w:val="00D5714C"/>
  </w:style>
  <w:style w:type="paragraph" w:customStyle="1" w:styleId="BodyStyle">
    <w:name w:val="Body Style"/>
    <w:rsid w:val="00D5714C"/>
    <w:pPr>
      <w:tabs>
        <w:tab w:val="left" w:pos="720"/>
        <w:tab w:val="left" w:pos="1440"/>
        <w:tab w:val="left" w:pos="7200"/>
      </w:tabs>
      <w:spacing w:after="0"/>
    </w:pPr>
    <w:rPr>
      <w:rFonts w:ascii="Times New Roman" w:eastAsia="Times New Roman" w:hAnsi="Times New Roman" w:cs="Times New Roman"/>
      <w:color w:val="000000"/>
      <w:sz w:val="24"/>
      <w:szCs w:val="20"/>
    </w:rPr>
  </w:style>
  <w:style w:type="paragraph" w:styleId="Title">
    <w:name w:val="Title"/>
    <w:basedOn w:val="Normal"/>
    <w:link w:val="TitleChar"/>
    <w:qFormat/>
    <w:rsid w:val="00D5714C"/>
    <w:pPr>
      <w:spacing w:after="0"/>
      <w:jc w:val="center"/>
    </w:pPr>
    <w:rPr>
      <w:rFonts w:ascii="Times New Roman" w:eastAsia="Times New Roman" w:hAnsi="Times New Roman" w:cs="Times New Roman"/>
      <w:b/>
      <w:bCs/>
      <w:color w:val="000000"/>
      <w:sz w:val="36"/>
      <w:szCs w:val="36"/>
    </w:rPr>
  </w:style>
  <w:style w:type="character" w:customStyle="1" w:styleId="TitleChar">
    <w:name w:val="Title Char"/>
    <w:basedOn w:val="DefaultParagraphFont"/>
    <w:link w:val="Title"/>
    <w:rsid w:val="00D5714C"/>
    <w:rPr>
      <w:rFonts w:ascii="Times New Roman" w:eastAsia="Times New Roman" w:hAnsi="Times New Roman" w:cs="Times New Roman"/>
      <w:b/>
      <w:bCs/>
      <w:color w:val="000000"/>
      <w:sz w:val="36"/>
      <w:szCs w:val="36"/>
    </w:rPr>
  </w:style>
  <w:style w:type="character" w:styleId="Hyperlink">
    <w:name w:val="Hyperlink"/>
    <w:basedOn w:val="DefaultParagraphFont"/>
    <w:semiHidden/>
    <w:rsid w:val="00D5714C"/>
    <w:rPr>
      <w:color w:val="0000FF"/>
      <w:u w:val="single"/>
    </w:rPr>
  </w:style>
  <w:style w:type="paragraph" w:styleId="BodyText">
    <w:name w:val="Body Text"/>
    <w:basedOn w:val="Normal"/>
    <w:link w:val="BodyTextChar"/>
    <w:semiHidden/>
    <w:rsid w:val="001A3DBA"/>
    <w:pPr>
      <w:spacing w:after="0"/>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semiHidden/>
    <w:rsid w:val="001A3DBA"/>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6C540F"/>
    <w:pPr>
      <w:ind w:left="720"/>
      <w:contextualSpacing/>
    </w:pPr>
  </w:style>
  <w:style w:type="table" w:styleId="TableGrid">
    <w:name w:val="Table Grid"/>
    <w:basedOn w:val="TableNormal"/>
    <w:uiPriority w:val="39"/>
    <w:rsid w:val="00E26BFA"/>
    <w:pPr>
      <w:spacing w:after="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8148D9"/>
    <w:rPr>
      <w:sz w:val="16"/>
      <w:szCs w:val="16"/>
    </w:rPr>
  </w:style>
  <w:style w:type="paragraph" w:styleId="CommentText">
    <w:name w:val="annotation text"/>
    <w:basedOn w:val="Normal"/>
    <w:link w:val="CommentTextChar"/>
    <w:uiPriority w:val="99"/>
    <w:semiHidden/>
    <w:unhideWhenUsed/>
    <w:rsid w:val="008148D9"/>
    <w:rPr>
      <w:sz w:val="20"/>
      <w:szCs w:val="20"/>
    </w:rPr>
  </w:style>
  <w:style w:type="character" w:customStyle="1" w:styleId="CommentTextChar">
    <w:name w:val="Comment Text Char"/>
    <w:basedOn w:val="DefaultParagraphFont"/>
    <w:link w:val="CommentText"/>
    <w:uiPriority w:val="99"/>
    <w:semiHidden/>
    <w:rsid w:val="008148D9"/>
    <w:rPr>
      <w:sz w:val="20"/>
      <w:szCs w:val="20"/>
    </w:rPr>
  </w:style>
  <w:style w:type="paragraph" w:styleId="CommentSubject">
    <w:name w:val="annotation subject"/>
    <w:basedOn w:val="CommentText"/>
    <w:next w:val="CommentText"/>
    <w:link w:val="CommentSubjectChar"/>
    <w:uiPriority w:val="99"/>
    <w:semiHidden/>
    <w:unhideWhenUsed/>
    <w:rsid w:val="008148D9"/>
    <w:rPr>
      <w:b/>
      <w:bCs/>
    </w:rPr>
  </w:style>
  <w:style w:type="character" w:customStyle="1" w:styleId="CommentSubjectChar">
    <w:name w:val="Comment Subject Char"/>
    <w:basedOn w:val="CommentTextChar"/>
    <w:link w:val="CommentSubject"/>
    <w:uiPriority w:val="99"/>
    <w:semiHidden/>
    <w:rsid w:val="008148D9"/>
    <w:rPr>
      <w:b/>
      <w:bCs/>
      <w:sz w:val="20"/>
      <w:szCs w:val="20"/>
    </w:rPr>
  </w:style>
  <w:style w:type="paragraph" w:styleId="Revision">
    <w:name w:val="Revision"/>
    <w:hidden/>
    <w:uiPriority w:val="99"/>
    <w:semiHidden/>
    <w:rsid w:val="00E56DA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5114">
      <w:bodyDiv w:val="1"/>
      <w:marLeft w:val="0"/>
      <w:marRight w:val="0"/>
      <w:marTop w:val="0"/>
      <w:marBottom w:val="0"/>
      <w:divBdr>
        <w:top w:val="none" w:sz="0" w:space="0" w:color="auto"/>
        <w:left w:val="none" w:sz="0" w:space="0" w:color="auto"/>
        <w:bottom w:val="none" w:sz="0" w:space="0" w:color="auto"/>
        <w:right w:val="none" w:sz="0" w:space="0" w:color="auto"/>
      </w:divBdr>
    </w:div>
    <w:div w:id="94979368">
      <w:bodyDiv w:val="1"/>
      <w:marLeft w:val="0"/>
      <w:marRight w:val="0"/>
      <w:marTop w:val="0"/>
      <w:marBottom w:val="0"/>
      <w:divBdr>
        <w:top w:val="none" w:sz="0" w:space="0" w:color="auto"/>
        <w:left w:val="none" w:sz="0" w:space="0" w:color="auto"/>
        <w:bottom w:val="none" w:sz="0" w:space="0" w:color="auto"/>
        <w:right w:val="none" w:sz="0" w:space="0" w:color="auto"/>
      </w:divBdr>
    </w:div>
    <w:div w:id="76784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emf"/><Relationship Id="rId26" Type="http://schemas.openxmlformats.org/officeDocument/2006/relationships/image" Target="media/image14.png"/><Relationship Id="rId21" Type="http://schemas.openxmlformats.org/officeDocument/2006/relationships/image" Target="media/image9.png"/><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hyperlink" Target="http://www.asmfc.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90C95DEB2A41498CD2D394967D3534" ma:contentTypeVersion="16" ma:contentTypeDescription="Create a new document." ma:contentTypeScope="" ma:versionID="ec1fd71e8fbeb4c8f25a15818e622e18">
  <xsd:schema xmlns:xsd="http://www.w3.org/2001/XMLSchema" xmlns:xs="http://www.w3.org/2001/XMLSchema" xmlns:p="http://schemas.microsoft.com/office/2006/metadata/properties" xmlns:ns2="6fe1ac8e-88c1-4cc0-a8f1-4019c9a28376" xmlns:ns3="cfa41da1-9624-4a22-856d-798f42b95fb5" targetNamespace="http://schemas.microsoft.com/office/2006/metadata/properties" ma:root="true" ma:fieldsID="18e317d12f2e9443f999c97d910272db" ns2:_="" ns3:_="">
    <xsd:import namespace="6fe1ac8e-88c1-4cc0-a8f1-4019c9a28376"/>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1ac8e-88c1-4cc0-a8f1-4019c9a28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91e570-9e28-478d-a9e2-658bc428b09a}"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e1ac8e-88c1-4cc0-a8f1-4019c9a28376">
      <Terms xmlns="http://schemas.microsoft.com/office/infopath/2007/PartnerControls"/>
    </lcf76f155ced4ddcb4097134ff3c332f>
    <TaxCatchAll xmlns="cfa41da1-9624-4a22-856d-798f42b95fb5" xsi:nil="true"/>
  </documentManagement>
</p:properties>
</file>

<file path=customXml/itemProps1.xml><?xml version="1.0" encoding="utf-8"?>
<ds:datastoreItem xmlns:ds="http://schemas.openxmlformats.org/officeDocument/2006/customXml" ds:itemID="{9E9741C3-B75D-458A-B426-FED9256B68E7}">
  <ds:schemaRefs>
    <ds:schemaRef ds:uri="http://schemas.microsoft.com/sharepoint/v3/contenttype/forms"/>
  </ds:schemaRefs>
</ds:datastoreItem>
</file>

<file path=customXml/itemProps2.xml><?xml version="1.0" encoding="utf-8"?>
<ds:datastoreItem xmlns:ds="http://schemas.openxmlformats.org/officeDocument/2006/customXml" ds:itemID="{0CBC5CEE-2DA4-4A0B-8C39-9A9072BFB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1ac8e-88c1-4cc0-a8f1-4019c9a28376"/>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29273-8BBA-4202-9CAB-E789429E5E7F}">
  <ds:schemaRefs>
    <ds:schemaRef ds:uri="http://schemas.openxmlformats.org/officeDocument/2006/bibliography"/>
  </ds:schemaRefs>
</ds:datastoreItem>
</file>

<file path=customXml/itemProps4.xml><?xml version="1.0" encoding="utf-8"?>
<ds:datastoreItem xmlns:ds="http://schemas.openxmlformats.org/officeDocument/2006/customXml" ds:itemID="{61C5C4C4-3AC2-481F-A0F1-50F34F341DA2}">
  <ds:schemaRefs>
    <ds:schemaRef ds:uri="http://schemas.microsoft.com/office/2006/metadata/properties"/>
    <ds:schemaRef ds:uri="http://schemas.microsoft.com/office/infopath/2007/PartnerControls"/>
    <ds:schemaRef ds:uri="6fe1ac8e-88c1-4cc0-a8f1-4019c9a28376"/>
    <ds:schemaRef ds:uri="cfa41da1-9624-4a22-856d-798f42b95fb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2615</Words>
  <Characters>12030</Characters>
  <Application>Microsoft Office Word</Application>
  <DocSecurity>4</DocSecurity>
  <Lines>401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Berger</dc:creator>
  <cp:keywords/>
  <dc:description/>
  <cp:lastModifiedBy>Tina Berger</cp:lastModifiedBy>
  <cp:revision>2</cp:revision>
  <dcterms:created xsi:type="dcterms:W3CDTF">2024-10-29T18:12:00Z</dcterms:created>
  <dcterms:modified xsi:type="dcterms:W3CDTF">2024-10-29T18:12:00Z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0x010100D490C95DEB2A41498CD2D394967D3534</vt:lpwstr>
  </property>
  <property fmtid="{D5CDD505-2E9C-101B-9397-08002B2CF9AE}" pid="3" name="MediaServiceImageTags">
    <vt:lpwstr/>
  </property>
</Properties>
</file>